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bCs/>
          <w:caps/>
        </w:rPr>
      </w:pPr>
      <w:r>
        <w:rPr>
          <w:b/>
          <w:bCs/>
          <w:caps/>
        </w:rPr>
        <w:t>Plano de retomada das atividades da Especialização em Direitos Humanos - Terceira Oferta</w:t>
      </w:r>
    </w:p>
    <w:p>
      <w:pPr>
        <w:pStyle w:val="Normal"/>
        <w:spacing w:lineRule="auto" w:line="240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rPr/>
      </w:pPr>
      <w:r>
        <w:rPr/>
        <w:tab/>
        <w:t>Enquanto durar a situação de excepcionalidade institucional decorrente da Pandemia de Covid-19, em conformidade com o Art. 19 da Resolução nº 35/CONSUNI/UFFS/2020, as atividades dos componentes curriculares do curso serão organizadas obedecendo aos seguintes critérios:</w:t>
      </w:r>
    </w:p>
    <w:p>
      <w:pPr>
        <w:pStyle w:val="ListParagraph"/>
        <w:numPr>
          <w:ilvl w:val="0"/>
          <w:numId w:val="1"/>
        </w:numPr>
        <w:ind w:left="720" w:hanging="436"/>
        <w:rPr/>
      </w:pPr>
      <w:r>
        <w:rPr/>
        <w:t xml:space="preserve">No mínimo 2/3 ou 3/4 de atividades síncronas, conforme a carga horária de cada CCR. Atividade </w:t>
      </w:r>
      <w:r>
        <w:rPr>
          <w:b/>
          <w:bCs/>
          <w:i/>
          <w:iCs/>
        </w:rPr>
        <w:t>síncronas</w:t>
      </w:r>
      <w:r>
        <w:rPr/>
        <w:t xml:space="preserve"> são definidas pela Resolução 35/CONSUNI/UFFS/2020 como aquelas em que as atividades relacionadas à ministração e ao desenvolvimento da carga horária do CCR são realizadas por meio de ferramentas de comunicação virtual, em tempo real, que conferem interação entre professores e estudantes;</w:t>
      </w:r>
    </w:p>
    <w:p>
      <w:pPr>
        <w:pStyle w:val="ListParagraph"/>
        <w:numPr>
          <w:ilvl w:val="0"/>
          <w:numId w:val="1"/>
        </w:numPr>
        <w:ind w:left="720" w:hanging="436"/>
        <w:rPr/>
      </w:pPr>
      <w:r>
        <w:rPr/>
        <w:t xml:space="preserve">No máximo 1/3 ou 1/4 de atividades assíncronas, conforme a carga horária de cada CCR. Atividade </w:t>
      </w:r>
      <w:r>
        <w:rPr>
          <w:b/>
          <w:bCs/>
          <w:i/>
          <w:iCs/>
        </w:rPr>
        <w:t>assíncronas</w:t>
      </w:r>
      <w:r>
        <w:rPr/>
        <w:t xml:space="preserve"> são definidas pela 35/CONSUNI/UFFS/2020 como aquelas em que as atividades relacionadas ao desenvolvimento da carga horária do CCR caracterizam-se pela não concomitância entre as tarefas realizadas pelos professores e as realizadas pelos estudantes. </w:t>
      </w:r>
    </w:p>
    <w:p>
      <w:pPr>
        <w:pStyle w:val="Normal"/>
        <w:ind w:firstLine="708"/>
        <w:rPr/>
      </w:pPr>
      <w:r>
        <w:rPr/>
        <w:t>Assim, como os CCRs são de 20 ou 30h do curso, os professores deverão cumprir:</w:t>
      </w:r>
    </w:p>
    <w:tbl>
      <w:tblPr>
        <w:tblStyle w:val="Tabelacomgrad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6"/>
        <w:gridCol w:w="3037"/>
        <w:gridCol w:w="3048"/>
      </w:tblGrid>
      <w:tr>
        <w:trPr/>
        <w:tc>
          <w:tcPr>
            <w:tcW w:w="29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Atividades Síncronas</w:t>
            </w:r>
          </w:p>
        </w:tc>
        <w:tc>
          <w:tcPr>
            <w:tcW w:w="304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Atividades Assíncronas</w:t>
            </w:r>
          </w:p>
        </w:tc>
      </w:tr>
      <w:tr>
        <w:trPr/>
        <w:tc>
          <w:tcPr>
            <w:tcW w:w="29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CCRs de 20h</w:t>
            </w:r>
          </w:p>
        </w:tc>
        <w:tc>
          <w:tcPr>
            <w:tcW w:w="303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Mínimo de 15h</w:t>
            </w:r>
          </w:p>
        </w:tc>
        <w:tc>
          <w:tcPr>
            <w:tcW w:w="304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Máximo de 5h</w:t>
            </w:r>
          </w:p>
        </w:tc>
      </w:tr>
      <w:tr>
        <w:trPr/>
        <w:tc>
          <w:tcPr>
            <w:tcW w:w="29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CCRs de 30h</w:t>
            </w:r>
          </w:p>
        </w:tc>
        <w:tc>
          <w:tcPr>
            <w:tcW w:w="303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Mínimo de 20h</w:t>
            </w:r>
          </w:p>
        </w:tc>
        <w:tc>
          <w:tcPr>
            <w:tcW w:w="304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Máximo de 10h</w:t>
            </w:r>
          </w:p>
        </w:tc>
      </w:tr>
    </w:tbl>
    <w:p>
      <w:pPr>
        <w:pStyle w:val="Normal"/>
        <w:ind w:firstLine="708"/>
        <w:rPr/>
      </w:pPr>
      <w:r>
        <w:rPr/>
        <w:t>Para a implementação desta sistemática, será utilizada a ferramenta Webex Meet, com transmissão das aulas pelo Youtube e disponibilização da plataforma Moodle da UFFS para o encaminhamento e acompanhamento das atividades. Caso os docentes optem por outras plataformas e/ou instrumentos didáticos com os quais possuam maior familiaridade ou que representem ganhos no processo de ensino/aprendizagem, será facultado o uso. Também é o caso de atentar para o fato de que os docentes externos (os que não possuem vínculo profissional com a universidade), precisarão de suporte e apoio logístico para o uso das ferramentas indicadas. Para este último problema, a coordenação e a secretaria do curso servirão de ponto de apoio.</w:t>
      </w:r>
    </w:p>
    <w:p>
      <w:pPr>
        <w:pStyle w:val="Normal"/>
        <w:ind w:firstLine="708"/>
        <w:rPr/>
      </w:pPr>
      <w:r>
        <w:rPr/>
        <w:t xml:space="preserve">Importante ressaltar que, caso o campus Realeza passe operar nos Níveis de Segurança Operacional 1 (baixíssimo risco) ou 2 (baixo risco), as atividades de aulas teóricas presenciais poderão ser retomadas (conforme apêndice da Resolução 35/CONSUNI/UFFS/2020. </w:t>
      </w:r>
    </w:p>
    <w:p>
      <w:pPr>
        <w:pStyle w:val="Normal"/>
        <w:ind w:firstLine="708"/>
        <w:rPr/>
      </w:pPr>
      <w:r>
        <w:rPr/>
        <w:t>Feitas essas considerações, o novo calendário para a 3ª oferta obedecerá às seguintes datas:</w:t>
      </w:r>
    </w:p>
    <w:p>
      <w:pPr>
        <w:pStyle w:val="Normal"/>
        <w:spacing w:lineRule="auto" w:line="240"/>
        <w:rPr/>
      </w:pPr>
      <w:r>
        <w:rPr/>
      </w:r>
    </w:p>
    <w:tbl>
      <w:tblPr>
        <w:tblW w:w="9037" w:type="dxa"/>
        <w:jc w:val="left"/>
        <w:tblInd w:w="24" w:type="dxa"/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70"/>
        <w:gridCol w:w="660"/>
        <w:gridCol w:w="3855"/>
        <w:gridCol w:w="1252"/>
      </w:tblGrid>
      <w:tr>
        <w:trPr>
          <w:trHeight w:val="255" w:hRule="atLeast"/>
        </w:trPr>
        <w:tc>
          <w:tcPr>
            <w:tcW w:w="3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C.H.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Docente(s)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Data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Bases histórico-sociológicas do debate moderno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Marcos Antônio Beal e Jael dos Santos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19/09/2020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Marcos Antônio Beal e Jael dos Santos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26/09/2020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Marcos Antônio Beal e Jael dos Santos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03/10/2020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Fundamentos filosóficos e jurídicos dos Direitos Humanos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José Oto Konzen e Samuel Mânica Radaelli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17/10/2020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José Oto Konzen e  Samuel Mânica Radaelli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24/10/2020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José Oto Konzen e  Samuel Mânica Radaelli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BDD7E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31/10/2020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Novas Fronteiras dos Direitos humanos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Gilson Luiz Voloski e Emerson Martins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07/11/2020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Gilson Luiz Voloski e Emerson Martins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14/11/2020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Gilson Luiz Voloski e Emerson Martins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C6E0B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21/11/2020</w:t>
            </w:r>
          </w:p>
        </w:tc>
      </w:tr>
      <w:tr>
        <w:trPr>
          <w:trHeight w:val="255" w:hRule="atLeast"/>
        </w:trPr>
        <w:tc>
          <w:tcPr>
            <w:tcW w:w="3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Metodologia da pesquisa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Antônio Marcos Myskiw e Marcos Antônio Beal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28/11/2020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Percurso histórico e suas interpretações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Antônio Marcos Myskiw e Aruanã Passos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05/12/2020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Antônio Marcos Myskiw e Aruanã Passos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12/12/2020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Antônio Marcos Myskiw e Aruanã Passos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19/12/2020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Direitos civis, políticos e sociais no Brasil contemporâneo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Carlos Gregório Bezerra Guerra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13/02/2021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Carlos Gregório Bezerra Guerra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20/02/2021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Carlos Gregório Bezerra Guerra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27/02/2021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D.H. 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 questão indígena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no Brasil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Andreia Florêncio Eduardo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06/03/2021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Andreia Florêncio Eduardo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13/03/2021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D.H., infância e adol. no Brasil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Ronaldo Aurélio Gimenez Garcia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20/03/2021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Ronaldo Aurélio Gimenez Garcia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27/03/2021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D.H. e Relações Raciais no Brasil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Rita de Cássia Lima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10/04/2021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Rita de Cássia Lima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17/04/2021</w:t>
            </w:r>
          </w:p>
        </w:tc>
      </w:tr>
      <w:tr>
        <w:trPr>
          <w:trHeight w:val="255" w:hRule="atLeast"/>
        </w:trPr>
        <w:tc>
          <w:tcPr>
            <w:tcW w:w="3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Metodologia da pesquisa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Antônio Marcos Myskiw e Marcos Antônio Beal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24/04/2021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Meio Ambiente e D.H. no Brasil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Sidemar Presotto Nunes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08/05/2021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Sidemar Presotto Nunes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15/05/2021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D.H. e Educação no Brasil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Mariane Inês Ohlweiler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22/05/2021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Mariane Inês Ohlweiler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29/05/2021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D.H. e a questão agrária no Brasil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Jaci Poli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12/06/2021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Jaci Poli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19/06/2021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D.H. e fluxos migratórios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Maria de Lourdes Bernartt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26/06/2021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Maria de Lourdes Bernartt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03/07/2021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D.H. e movimentos sociais 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Jael dos Santos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31/07/2021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Jael dos Santos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07/08/2021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D.H. e a pessoa com deficiência no Brasil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Ronaldo Aurélio Gimenez Garcia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21/08/2021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Ronaldo Aurélio Gimenez Garcia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28/08//2021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D.H., rep. simbólicas e manifestações culturais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Sérgio Massagli e Saulo Gomes Thimóteo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11/09/2021</w:t>
            </w:r>
          </w:p>
        </w:tc>
      </w:tr>
      <w:tr>
        <w:trPr>
          <w:trHeight w:val="255" w:hRule="atLeast"/>
        </w:trPr>
        <w:tc>
          <w:tcPr>
            <w:tcW w:w="327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Sérgio Massagli e Saulo Gomes Thimóteo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18/09/2021</w:t>
            </w:r>
          </w:p>
        </w:tc>
      </w:tr>
      <w:tr>
        <w:trPr>
          <w:trHeight w:val="255" w:hRule="atLeast"/>
        </w:trPr>
        <w:tc>
          <w:tcPr>
            <w:tcW w:w="3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Metodologia da pesquisa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Antônio Marcos Myskiw e Marcos Antônio Beal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C000" w:themeFill="accent4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02/10/2021</w:t>
            </w:r>
          </w:p>
        </w:tc>
      </w:tr>
      <w:tr>
        <w:trPr>
          <w:trHeight w:val="255" w:hRule="atLeast"/>
        </w:trPr>
        <w:tc>
          <w:tcPr>
            <w:tcW w:w="3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TCC: Elaboração e defesa do Trabalho</w:t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Não se aplica (redação e Seminário de Apresentação)</w:t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Até 23/10/2021</w:t>
            </w:r>
          </w:p>
        </w:tc>
      </w:tr>
      <w:tr>
        <w:trPr>
          <w:trHeight w:val="255" w:hRule="atLeast"/>
        </w:trPr>
        <w:tc>
          <w:tcPr>
            <w:tcW w:w="3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fldChar w:fldCharType="begin"/>
            </w:r>
            <w:r>
              <w:rPr/>
              <w:instrText>LINK Word.Document.12 "C:\\Users\\Beal\\Desktop\\Pós-Graduação Direitos Humanos\\PROPOSTA PÓS-GRAD Dir Humanos - FINAL.docx" "OLE_LINK3" \a \t \u  \* MERGEFORMAT</w:instrText>
            </w:r>
            <w:r>
              <w:rPr/>
              <w:fldChar w:fldCharType="separate"/>
            </w:r>
            <w:bookmarkStart w:id="0" w:name="Bookmark"/>
            <w:r>
              <w:rPr/>
            </w:r>
            <w:r>
              <w:rPr>
                <w:b/>
              </w:rPr>
              <w:t>3</w:t>
            </w:r>
            <w:bookmarkStart w:id="1" w:name="__Fieldmark__13499_152139384"/>
            <w:r>
              <w:rPr>
                <w:b/>
              </w:rPr>
              <w:t>8</w:t>
            </w:r>
            <w:bookmarkStart w:id="2" w:name="__Fieldmark__1671_2034745912"/>
            <w:r>
              <w:rPr>
                <w:b/>
              </w:rPr>
              <w:t>0</w:t>
            </w:r>
            <w:r>
              <w:rPr/>
            </w:r>
            <w:r>
              <w:rPr/>
              <w:fldChar w:fldCharType="end"/>
            </w:r>
            <w:bookmarkEnd w:id="0"/>
            <w:bookmarkEnd w:id="1"/>
            <w:bookmarkEnd w:id="2"/>
            <w:r>
              <w:rPr>
                <w:rStyle w:val="Ncoradanotaderodap"/>
              </w:rPr>
              <w:footnoteReference w:id="2"/>
            </w:r>
          </w:p>
        </w:tc>
        <w:tc>
          <w:tcPr>
            <w:tcW w:w="3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>
          <w:rStyle w:val="FootnoteCharacters"/>
          <w:rFonts w:cs="Times New Roman"/>
        </w:rPr>
        <w:t xml:space="preserve"> </w:t>
      </w:r>
      <w:r>
        <w:rPr>
          <w:rFonts w:cs="Times New Roman"/>
        </w:rPr>
        <w:t>Não computado o TCC.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69f3"/>
    <w:pPr>
      <w:widowControl/>
      <w:bidi w:val="0"/>
      <w:spacing w:lineRule="auto" w:line="36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e16cd"/>
    <w:pPr>
      <w:keepNext w:val="true"/>
      <w:keepLines/>
      <w:jc w:val="left"/>
      <w:outlineLvl w:val="0"/>
    </w:pPr>
    <w:rPr>
      <w:rFonts w:eastAsia="" w:cs="" w:cstheme="majorBidi" w:eastAsiaTheme="majorEastAsia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6cd"/>
    <w:pPr>
      <w:keepNext w:val="true"/>
      <w:keepLines/>
      <w:jc w:val="left"/>
      <w:outlineLvl w:val="1"/>
    </w:pPr>
    <w:rPr>
      <w:rFonts w:eastAsia="" w:cs="" w:cstheme="majorBidi" w:eastAsiaTheme="majorEastAsia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49b0"/>
    <w:pPr>
      <w:keepNext w:val="true"/>
      <w:keepLines/>
      <w:jc w:val="left"/>
      <w:outlineLvl w:val="2"/>
    </w:pPr>
    <w:rPr>
      <w:rFonts w:eastAsia="" w:cs="" w:cstheme="majorBidi" w:eastAsiaTheme="majorEastAsia"/>
      <w:b/>
      <w:i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2e16cd"/>
    <w:rPr>
      <w:rFonts w:ascii="Times New Roman" w:hAnsi="Times New Roman" w:eastAsia="" w:cs="" w:cstheme="majorBidi" w:eastAsiaTheme="majorEastAsia"/>
      <w:b/>
      <w:caps/>
      <w:sz w:val="24"/>
      <w:szCs w:val="32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2e16cd"/>
    <w:rPr>
      <w:rFonts w:ascii="Times New Roman" w:hAnsi="Times New Roman" w:eastAsia="" w:cs="" w:cstheme="majorBidi" w:eastAsiaTheme="majorEastAsia"/>
      <w:caps/>
      <w:sz w:val="24"/>
      <w:szCs w:val="26"/>
    </w:rPr>
  </w:style>
  <w:style w:type="character" w:styleId="TtuloChar" w:customStyle="1">
    <w:name w:val="Título Char"/>
    <w:basedOn w:val="DefaultParagraphFont"/>
    <w:link w:val="Ttulo"/>
    <w:uiPriority w:val="10"/>
    <w:qFormat/>
    <w:rsid w:val="002e16cd"/>
    <w:rPr>
      <w:rFonts w:ascii="Times New Roman" w:hAnsi="Times New Roman" w:eastAsia="" w:cs="" w:cstheme="majorBidi" w:eastAsiaTheme="majorEastAsia"/>
      <w:b/>
      <w:caps/>
      <w:spacing w:val="-10"/>
      <w:kern w:val="2"/>
      <w:sz w:val="24"/>
      <w:szCs w:val="56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f249b0"/>
    <w:rPr>
      <w:rFonts w:ascii="Times New Roman" w:hAnsi="Times New Roman" w:eastAsia="" w:cs="" w:cstheme="majorBidi" w:eastAsiaTheme="majorEastAsia"/>
      <w:b/>
      <w:i/>
      <w:sz w:val="24"/>
      <w:szCs w:val="24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971b85"/>
    <w:rPr>
      <w:rFonts w:ascii="Times New Roman" w:hAnsi="Times New Roman"/>
      <w:iCs/>
      <w:sz w:val="20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qFormat/>
    <w:rsid w:val="00c2465d"/>
    <w:rPr>
      <w:sz w:val="20"/>
      <w:szCs w:val="20"/>
    </w:rPr>
  </w:style>
  <w:style w:type="character" w:styleId="Ncoradanotaderodap" w:customStyle="1">
    <w:name w:val="Âncora da nota de rodapé"/>
    <w:rsid w:val="00c2465d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2465d"/>
    <w:rPr>
      <w:vertAlign w:val="superscript"/>
    </w:rPr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c2465d"/>
    <w:rPr>
      <w:rFonts w:ascii="Times New Roman" w:hAnsi="Times New Roman"/>
      <w:sz w:val="20"/>
      <w:szCs w:val="20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2e16cd"/>
    <w:pPr>
      <w:spacing w:before="0" w:after="0"/>
      <w:contextualSpacing/>
      <w:jc w:val="center"/>
    </w:pPr>
    <w:rPr>
      <w:rFonts w:eastAsia="" w:cs="" w:cstheme="majorBidi" w:eastAsiaTheme="majorEastAsia"/>
      <w:b/>
      <w:caps/>
      <w:spacing w:val="-10"/>
      <w:kern w:val="2"/>
      <w:szCs w:val="56"/>
    </w:rPr>
  </w:style>
  <w:style w:type="paragraph" w:styleId="Quote">
    <w:name w:val="Quote"/>
    <w:basedOn w:val="Normal"/>
    <w:next w:val="Normal"/>
    <w:link w:val="CitaoChar"/>
    <w:uiPriority w:val="29"/>
    <w:qFormat/>
    <w:rsid w:val="00971b85"/>
    <w:pPr>
      <w:ind w:left="2268" w:hanging="0"/>
    </w:pPr>
    <w:rPr>
      <w:iCs/>
      <w:sz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1413d"/>
    <w:pPr>
      <w:spacing w:before="0" w:after="100"/>
      <w:jc w:val="left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01413d"/>
    <w:pPr>
      <w:spacing w:before="0" w:after="100"/>
      <w:ind w:left="238" w:hanging="0"/>
      <w:jc w:val="left"/>
    </w:pPr>
    <w:rPr>
      <w:caps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01413d"/>
    <w:pPr>
      <w:spacing w:before="0" w:after="100"/>
      <w:ind w:left="482" w:hanging="0"/>
      <w:jc w:val="left"/>
    </w:pPr>
    <w:rPr>
      <w:b/>
      <w:i/>
    </w:rPr>
  </w:style>
  <w:style w:type="paragraph" w:styleId="ListParagraph">
    <w:name w:val="List Paragraph"/>
    <w:basedOn w:val="Normal"/>
    <w:uiPriority w:val="34"/>
    <w:qFormat/>
    <w:rsid w:val="00bb5057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rsid w:val="00c2465d"/>
    <w:pPr>
      <w:spacing w:lineRule="auto" w:line="240"/>
      <w:jc w:val="left"/>
    </w:pPr>
    <w:rPr>
      <w:rFonts w:ascii="Calibri" w:hAnsi="Calibri" w:asciiTheme="minorHAnsi" w:hAnsiTheme="min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e6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9EB9-09C8-4B6F-B0C3-7EB05C4E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Application>LibreOffice/6.2.5.2$Windows_X86_64 LibreOffice_project/1ec314fa52f458adc18c4f025c545a4e8b22c159</Application>
  <Pages>2</Pages>
  <Words>740</Words>
  <Characters>4178</Characters>
  <CharactersWithSpaces>4762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2020-08-14T18:45:00Z</dcterms:created>
  <dc:creator>Marcos Beal</dc:creator>
  <dc:description/>
  <dc:language>pt-BR</dc:language>
  <cp:lastModifiedBy/>
  <cp:lastPrinted>2020-09-01T20:09:00Z</cp:lastPrinted>
  <dcterms:modified xsi:type="dcterms:W3CDTF">2020-09-17T15:30:54Z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