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media/image1.emf" ContentType="image/x-emf"/>
  <Override PartName="/word/media/image2.emf" ContentType="image/x-e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rPr>
          <w:rFonts w:ascii="Times New Roman" w:hAnsi="Times New Roman" w:cs="Times New Roman"/>
          <w:sz w:val="24"/>
          <w:szCs w:val="24"/>
        </w:rPr>
      </w:pPr>
      <w:r>
        <w:rPr>
          <w:rFonts w:cs="Times New Roman" w:ascii="Times New Roman" w:hAnsi="Times New Roman"/>
          <w:sz w:val="24"/>
          <w:szCs w:val="24"/>
        </w:rPr>
      </w:r>
    </w:p>
    <w:p>
      <w:pPr>
        <w:pStyle w:val="LONormal"/>
        <w:rPr/>
      </w:pPr>
      <w:r>
        <w:rPr>
          <w:rFonts w:cs="Times New Roman" w:ascii="Times New Roman" w:hAnsi="Times New Roman"/>
          <w:sz w:val="24"/>
          <w:szCs w:val="24"/>
        </w:rPr>
        <w:t>Ofício Circular nº 05/2022-PROGRAD</w:t>
      </w:r>
    </w:p>
    <w:p>
      <w:pPr>
        <w:pStyle w:val="LONormal"/>
        <w:rPr>
          <w:rFonts w:ascii="Times New Roman" w:hAnsi="Times New Roman" w:cs="Times New Roman"/>
          <w:sz w:val="24"/>
          <w:szCs w:val="24"/>
        </w:rPr>
      </w:pPr>
      <w:r>
        <w:rPr>
          <w:rFonts w:cs="Times New Roman" w:ascii="Times New Roman" w:hAnsi="Times New Roman"/>
          <w:sz w:val="24"/>
          <w:szCs w:val="24"/>
        </w:rPr>
      </w:r>
    </w:p>
    <w:p>
      <w:pPr>
        <w:pStyle w:val="LONormal"/>
        <w:tabs>
          <w:tab w:val="left" w:pos="1545" w:leader="none"/>
          <w:tab w:val="right" w:pos="9071" w:leader="none"/>
        </w:tabs>
        <w:spacing w:lineRule="auto" w:line="240"/>
        <w:rPr>
          <w:color w:val="FF0000"/>
          <w:sz w:val="32"/>
          <w:szCs w:val="32"/>
        </w:rPr>
      </w:pPr>
      <w:r>
        <w:rPr>
          <w:rFonts w:cs="Times New Roman" w:ascii="Times New Roman" w:hAnsi="Times New Roman"/>
          <w:b/>
          <w:bCs/>
          <w:sz w:val="24"/>
          <w:szCs w:val="24"/>
        </w:rPr>
        <w:tab/>
        <w:tab/>
      </w:r>
    </w:p>
    <w:p>
      <w:pPr>
        <w:pStyle w:val="LONormal"/>
        <w:tabs>
          <w:tab w:val="left" w:pos="1545" w:leader="none"/>
          <w:tab w:val="right" w:pos="9071" w:leader="none"/>
        </w:tabs>
        <w:spacing w:lineRule="auto" w:line="240"/>
        <w:jc w:val="right"/>
        <w:rPr>
          <w:color w:val="FF0000"/>
          <w:sz w:val="32"/>
          <w:szCs w:val="32"/>
        </w:rPr>
      </w:pPr>
      <w:r>
        <w:rPr>
          <w:rFonts w:cs="Times New Roman" w:ascii="Times New Roman" w:hAnsi="Times New Roman"/>
          <w:sz w:val="24"/>
          <w:szCs w:val="24"/>
        </w:rPr>
        <w:t>Chapecó-SC, 29 de março de 2022.</w:t>
      </w:r>
    </w:p>
    <w:p>
      <w:pPr>
        <w:pStyle w:val="Normal"/>
        <w:rPr/>
      </w:pPr>
      <w:r>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Às (Aos)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Direções de </w:t>
      </w:r>
      <w:r>
        <w:rPr>
          <w:rFonts w:cs="Times New Roman" w:ascii="Times New Roman" w:hAnsi="Times New Roman"/>
          <w:i/>
          <w:iCs/>
          <w:sz w:val="24"/>
          <w:szCs w:val="24"/>
        </w:rPr>
        <w:t>Campus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Coordenações Acadêmicas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Coordenações de Cursos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Colegiados de Cursos e docentes da UFFS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Núcleos Docentes Estruturantes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Grupos de Trabalho para Reformulações dos PPCs</w:t>
      </w:r>
    </w:p>
    <w:p>
      <w:pPr>
        <w:pStyle w:val="Normal"/>
        <w:spacing w:lineRule="auto" w:line="240" w:before="0" w:after="0"/>
        <w:jc w:val="both"/>
        <w:rPr/>
      </w:pPr>
      <w:r>
        <w:rPr>
          <w:rFonts w:cs="Times New Roman" w:ascii="Times New Roman" w:hAnsi="Times New Roman"/>
          <w:sz w:val="24"/>
          <w:szCs w:val="24"/>
        </w:rPr>
        <w:t xml:space="preserve">Universidade Federal da Fronteira Sul – UFFS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 xml:space="preserve">Assunto: </w:t>
      </w:r>
      <w:r>
        <w:rPr>
          <w:rFonts w:cs="Times New Roman" w:ascii="Times New Roman" w:hAnsi="Times New Roman"/>
          <w:sz w:val="24"/>
          <w:szCs w:val="24"/>
        </w:rPr>
        <w:t>Orientações relativas às reformulações dos Projetos Pedagógicos de Cursos (PPCs) na UFFS.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Senhores(as),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Ao tempo em que os(as) cumprimentamos, vimos encaminhar orientações para as reformulações dos Projetos Pedagógicos de Cursos (PPCs) no âmbito da Universidade Federal da Fronteira Sul (UFFS) conforme informado em 17 de março de 2022 às Coordenações Acadêmicas e de Cursos.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 xml:space="preserve">Na UFFS, o processo de reformulação dos PPCs dos cursos de graduação é amparado pela autonomia universitária, mensurada principalmente por meio das deliberações colegiadas e coletivas. Diante disso, nesse importante processo, todos os Colegiados/NDE/GTs </w:t>
      </w:r>
      <w:r>
        <w:rPr>
          <w:rFonts w:cs="Times New Roman" w:ascii="Times New Roman" w:hAnsi="Times New Roman"/>
          <w:sz w:val="24"/>
          <w:szCs w:val="24"/>
          <w:vertAlign w:val="superscript"/>
        </w:rPr>
        <w:t>(*)</w:t>
      </w:r>
      <w:r>
        <w:rPr>
          <w:rFonts w:cs="Times New Roman" w:ascii="Times New Roman" w:hAnsi="Times New Roman"/>
          <w:sz w:val="24"/>
          <w:szCs w:val="24"/>
        </w:rPr>
        <w:t xml:space="preserve"> têm o papel de refletir profundamente sobre as especificidades/singularidades e os propósitos de cada curso, sua identidade, relevância social, objetivos, perfil do egresso, entre outros inúmeros elementos que o constituem e lhe dão materialidade e sentido social.</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 xml:space="preserve">Ainda, tendo em vista o contexto no qual se insere a Universidade (pandemia  COVID-19, evasão, retenção, entre outros), salvo melhor juízo, entendemos que o horizonte que se delineia neste momento de reformulações dos PPCs apresenta 02 (duas) dimensões: dimensão político-legal e dimensão contextual.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 xml:space="preserve">A dimensão político-legal considera a necessidade dos PPCs se atualizarem frente às recentes publicações de diretrizes e políticas institucionais, isto é, para determinados cursos de graduação há a necessidade de atualização do PPC frente à edição de novas Diretrizes Curriculares Nacionais como, por exemplo, o Curso de Administração (Resolução nº 5, de 14 de outubro de 2021), Arquitetura e Urbanismo (Resolução nº 1, de 26 de março de 2021), Engenharias (Resolução nº 1, de 26 de março de 2021), Medicina Veterinária (Resolução nº 3, de 15 de agosto de 2019) e todos os cursos de licenciaturas da Universidade (Resolução CNE/CP nº 2, de 20 de dezembro de 2019).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Há, ainda, a necessidade de todos os cursos de graduação da UFFS promoverem a inserção das atividades de extensão no currículo, de acordo com a recente política aprovada pelo Consuni (Resolução nº 93/CONSUNI/UFFS/2021), bem como a atualização em relação a outras políticas institucionais existentes, se for o caso. Deve-se atentar, também, para a relação aluno x professor.</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A dimensão contextual considera os desafios emergentes presentes no atual contexto da UFFS e que se impõem no presente e futuro da maior parte dos cursos de graduação da Universidade: evasão, retenção, nº de estudantes matriculados, cargas-horárias, indicadores de qualidade (IGC, CPC, Enade), autoavaliação, desafios da matriz OCC/Andifes, entre outros tantos.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Diante do exposto, com objetivo de colaborar com o processo de reformulação dos PPCs dos cursos de graduação da UFFS, a Prograd/Dop preparou o presente conjunto de encaminhamentos/orientações: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color w:val="000000" w:themeColor="text1"/>
          <w:sz w:val="16"/>
          <w:szCs w:val="16"/>
        </w:rPr>
      </w:pPr>
      <w:r>
        <w:rPr>
          <w:rFonts w:cs="Times New Roman" w:ascii="Times New Roman" w:hAnsi="Times New Roman"/>
          <w:color w:val="000000" w:themeColor="text1"/>
          <w:sz w:val="16"/>
          <w:szCs w:val="16"/>
        </w:rPr>
        <w:t xml:space="preserve">(*) Na UFFS, é papel dos </w:t>
      </w:r>
      <w:r>
        <w:rPr>
          <w:rFonts w:cs="Times New Roman" w:ascii="Times New Roman" w:hAnsi="Times New Roman"/>
          <w:color w:val="000000" w:themeColor="text1"/>
          <w:sz w:val="16"/>
          <w:szCs w:val="16"/>
          <w:shd w:fill="FFFFFF" w:val="clear"/>
        </w:rPr>
        <w:t>NDEs conduzir os trabalhos de (re)estruturação curricular, para aprovação no colegiado de curso, sempre que necessário. Assim, os GTs não desconfiguram esse papel, mas ampliam-no, de forma colaborativa e articulada com colegiado de curso e demais protagonistas. Cabe aos cursos organizarem seus GTs da forma que melhor lhes convier.</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1 – FORMAÇÃO PARA GTS, COLEGIADOS E NDES.</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ab/>
      </w:r>
      <w:r>
        <w:rPr>
          <w:rFonts w:cs="Times New Roman" w:ascii="Times New Roman" w:hAnsi="Times New Roman"/>
          <w:sz w:val="24"/>
          <w:szCs w:val="24"/>
        </w:rPr>
        <w:t>Em função das inúmeras mudanças e preocupações acerca de temas emergentes presentes no atual contexto, como citado anteriormente, a Prograd/DOP apresentou, em 09/03/2022, em 11/03/2022 e em 17/03/2022, respectivamente, junto ao Fórum das Direções, ao Fórum das Coordenações Acadêmicas e às Coordenações de Cursos de graduação da UFFS, uma proposta de formação aos GTs, Colegiados, NDEs com o objetivo de contribuir com o processo, fornecendo instrumentos/materiais para a reflexão no âmbito dessas discussões, especialmente aos GTS, Colegiados de Cursos e NDEs. A proposta formativa contemplará os módulos explicitados a seguir, nos seguintes prazos:</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tbl>
      <w:tblPr>
        <w:tblStyle w:val="Tabelacomgrade"/>
        <w:tblW w:w="9069" w:type="dxa"/>
        <w:jc w:val="left"/>
        <w:tblInd w:w="0" w:type="dxa"/>
        <w:tblCellMar>
          <w:top w:w="0" w:type="dxa"/>
          <w:left w:w="108" w:type="dxa"/>
          <w:bottom w:w="0" w:type="dxa"/>
          <w:right w:w="108" w:type="dxa"/>
        </w:tblCellMar>
        <w:tblLook w:firstRow="1" w:noVBand="1" w:lastRow="0" w:firstColumn="1" w:lastColumn="0" w:noHBand="0" w:val="04a0"/>
      </w:tblPr>
      <w:tblGrid>
        <w:gridCol w:w="1183"/>
        <w:gridCol w:w="2635"/>
        <w:gridCol w:w="1705"/>
        <w:gridCol w:w="1393"/>
        <w:gridCol w:w="2153"/>
      </w:tblGrid>
      <w:tr>
        <w:trPr/>
        <w:tc>
          <w:tcPr>
            <w:tcW w:w="9069" w:type="dxa"/>
            <w:gridSpan w:val="5"/>
            <w:tcBorders/>
            <w:shd w:color="auto" w:fill="BFBFBF" w:themeFill="background1" w:themeFillShade="bf" w:val="clear"/>
          </w:tcPr>
          <w:p>
            <w:pPr>
              <w:pStyle w:val="Normal"/>
              <w:widowControl w:val="false"/>
              <w:suppressAutoHyphens w:val="true"/>
              <w:spacing w:lineRule="auto" w:line="240" w:before="0" w:after="0"/>
              <w:jc w:val="center"/>
              <w:rPr>
                <w:rFonts w:ascii="Times New Roman" w:hAnsi="Times New Roman" w:cs="Times New Roman"/>
                <w:b/>
                <w:b/>
                <w:bCs/>
                <w:sz w:val="24"/>
                <w:szCs w:val="24"/>
              </w:rPr>
            </w:pPr>
            <w:r>
              <w:rPr>
                <w:rFonts w:eastAsia="Calibri" w:cs="Times New Roman" w:ascii="Times New Roman" w:hAnsi="Times New Roman"/>
                <w:b/>
                <w:bCs/>
                <w:kern w:val="0"/>
                <w:sz w:val="24"/>
                <w:szCs w:val="24"/>
                <w:lang w:val="pt-BR" w:bidi="ar-SA"/>
              </w:rPr>
              <w:t>FORMAÇÃO RELATIVA ÀS REFORMULAÇÕES DOS PPCS DA UFFS</w:t>
            </w:r>
          </w:p>
        </w:tc>
      </w:tr>
      <w:tr>
        <w:trPr/>
        <w:tc>
          <w:tcPr>
            <w:tcW w:w="118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b/>
                <w:b/>
                <w:bCs/>
                <w:sz w:val="24"/>
                <w:szCs w:val="24"/>
              </w:rPr>
            </w:pPr>
            <w:r>
              <w:rPr>
                <w:rFonts w:eastAsia="Calibri" w:cs="Times New Roman" w:ascii="Times New Roman" w:hAnsi="Times New Roman"/>
                <w:b/>
                <w:bCs/>
                <w:kern w:val="0"/>
                <w:sz w:val="24"/>
                <w:szCs w:val="24"/>
                <w:lang w:val="pt-BR" w:bidi="ar-SA"/>
              </w:rPr>
              <w:t>Módulo</w:t>
            </w:r>
          </w:p>
        </w:tc>
        <w:tc>
          <w:tcPr>
            <w:tcW w:w="2635"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b/>
                <w:b/>
                <w:bCs/>
                <w:sz w:val="24"/>
                <w:szCs w:val="24"/>
              </w:rPr>
            </w:pPr>
            <w:r>
              <w:rPr>
                <w:rFonts w:eastAsia="Calibri" w:cs="Times New Roman" w:ascii="Times New Roman" w:hAnsi="Times New Roman"/>
                <w:b/>
                <w:bCs/>
                <w:kern w:val="0"/>
                <w:sz w:val="24"/>
                <w:szCs w:val="24"/>
                <w:lang w:val="pt-BR" w:bidi="ar-SA"/>
              </w:rPr>
              <w:t>Tema</w:t>
            </w:r>
          </w:p>
        </w:tc>
        <w:tc>
          <w:tcPr>
            <w:tcW w:w="1705"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b/>
                <w:b/>
                <w:bCs/>
                <w:sz w:val="24"/>
                <w:szCs w:val="24"/>
              </w:rPr>
            </w:pPr>
            <w:r>
              <w:rPr>
                <w:rFonts w:eastAsia="Calibri" w:cs="Times New Roman" w:ascii="Times New Roman" w:hAnsi="Times New Roman"/>
                <w:b/>
                <w:bCs/>
                <w:kern w:val="0"/>
                <w:sz w:val="24"/>
                <w:szCs w:val="24"/>
                <w:lang w:val="pt-BR" w:bidi="ar-SA"/>
              </w:rPr>
              <w:t>Coordenação</w:t>
            </w:r>
          </w:p>
        </w:tc>
        <w:tc>
          <w:tcPr>
            <w:tcW w:w="139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b/>
                <w:b/>
                <w:bCs/>
                <w:sz w:val="24"/>
                <w:szCs w:val="24"/>
              </w:rPr>
            </w:pPr>
            <w:r>
              <w:rPr>
                <w:rFonts w:eastAsia="Calibri" w:cs="Times New Roman" w:ascii="Times New Roman" w:hAnsi="Times New Roman"/>
                <w:b/>
                <w:bCs/>
                <w:kern w:val="0"/>
                <w:sz w:val="24"/>
                <w:szCs w:val="24"/>
                <w:lang w:val="pt-BR" w:bidi="ar-SA"/>
              </w:rPr>
              <w:t>Data</w:t>
            </w:r>
          </w:p>
        </w:tc>
        <w:tc>
          <w:tcPr>
            <w:tcW w:w="215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b/>
                <w:b/>
                <w:bCs/>
                <w:sz w:val="24"/>
                <w:szCs w:val="24"/>
              </w:rPr>
            </w:pPr>
            <w:r>
              <w:rPr>
                <w:rFonts w:eastAsia="Calibri" w:cs="Times New Roman" w:ascii="Times New Roman" w:hAnsi="Times New Roman"/>
                <w:b/>
                <w:bCs/>
                <w:kern w:val="0"/>
                <w:sz w:val="24"/>
                <w:szCs w:val="24"/>
                <w:lang w:val="pt-BR" w:bidi="ar-SA"/>
              </w:rPr>
              <w:t>Horário</w:t>
            </w:r>
          </w:p>
        </w:tc>
      </w:tr>
      <w:tr>
        <w:trPr/>
        <w:tc>
          <w:tcPr>
            <w:tcW w:w="1183" w:type="dxa"/>
            <w:tcBorders/>
            <w:shd w:color="auto" w:fill="FFF2CC" w:themeFill="accent4" w:themeFillTint="33"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Módulo 1</w:t>
            </w:r>
          </w:p>
        </w:tc>
        <w:tc>
          <w:tcPr>
            <w:tcW w:w="2635" w:type="dxa"/>
            <w:tcBorders/>
            <w:shd w:color="auto" w:fill="FFF2CC" w:themeFill="accent4"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Extensão e Cultura nos Currículos de Graduação</w:t>
            </w:r>
          </w:p>
        </w:tc>
        <w:tc>
          <w:tcPr>
            <w:tcW w:w="1705" w:type="dxa"/>
            <w:tcBorders/>
            <w:shd w:color="auto" w:fill="FFF2CC" w:themeFill="accent4" w:themeFillTint="33"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Prograd/DOP</w:t>
            </w:r>
          </w:p>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Proec</w:t>
            </w:r>
          </w:p>
        </w:tc>
        <w:tc>
          <w:tcPr>
            <w:tcW w:w="1393" w:type="dxa"/>
            <w:tcBorders/>
            <w:shd w:color="auto" w:fill="FFF2CC" w:themeFill="accent4" w:themeFillTint="33"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04/04/2022</w:t>
            </w:r>
          </w:p>
          <w:p>
            <w:pPr>
              <w:pStyle w:val="Normal"/>
              <w:widowControl w:val="false"/>
              <w:suppressAutoHyphens w:val="true"/>
              <w:spacing w:lineRule="auto" w:line="240" w:before="0" w:after="0"/>
              <w:jc w:val="center"/>
              <w:rPr>
                <w:rFonts w:ascii="Times New Roman" w:hAnsi="Times New Roman" w:cs="Times New Roman"/>
                <w:sz w:val="18"/>
                <w:szCs w:val="18"/>
              </w:rPr>
            </w:pPr>
            <w:r>
              <w:rPr>
                <w:rFonts w:eastAsia="Calibri" w:cs="Times New Roman" w:ascii="Times New Roman" w:hAnsi="Times New Roman"/>
                <w:kern w:val="0"/>
                <w:sz w:val="18"/>
                <w:szCs w:val="18"/>
                <w:lang w:val="pt-BR" w:bidi="ar-SA"/>
              </w:rPr>
              <w:t>(segunda-feira)</w:t>
            </w:r>
          </w:p>
        </w:tc>
        <w:tc>
          <w:tcPr>
            <w:tcW w:w="2153" w:type="dxa"/>
            <w:tcBorders/>
            <w:shd w:color="auto" w:fill="FFF2CC" w:themeFill="accent4"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Das 8h30min às 12h</w:t>
            </w:r>
          </w:p>
        </w:tc>
      </w:tr>
      <w:tr>
        <w:trPr/>
        <w:tc>
          <w:tcPr>
            <w:tcW w:w="9069" w:type="dxa"/>
            <w:gridSpan w:val="5"/>
            <w:tcBorders/>
            <w:shd w:color="auto" w:fill="FFF2CC" w:themeFill="accent4" w:themeFillTint="33"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Temas:</w:t>
            </w:r>
          </w:p>
          <w:p>
            <w:pPr>
              <w:pStyle w:val="ListParagraph"/>
              <w:widowControl w:val="false"/>
              <w:numPr>
                <w:ilvl w:val="0"/>
                <w:numId w:val="1"/>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A Resolução nº 7, de 18 de dezembro de 2018;</w:t>
            </w:r>
          </w:p>
          <w:p>
            <w:pPr>
              <w:pStyle w:val="ListParagraph"/>
              <w:widowControl w:val="false"/>
              <w:numPr>
                <w:ilvl w:val="0"/>
                <w:numId w:val="1"/>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As Diretrizes para Inserção das Atividades de Extensão e Cultura nos currículos dos cursos de graduação e pós-graduação da UFFS: possibilidades e desafios;</w:t>
            </w:r>
          </w:p>
          <w:p>
            <w:pPr>
              <w:pStyle w:val="ListParagraph"/>
              <w:widowControl w:val="false"/>
              <w:numPr>
                <w:ilvl w:val="0"/>
                <w:numId w:val="1"/>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Diálogos com os cursos de graduação, tira-dúvidas.</w:t>
            </w:r>
          </w:p>
        </w:tc>
      </w:tr>
      <w:tr>
        <w:trPr/>
        <w:tc>
          <w:tcPr>
            <w:tcW w:w="9069" w:type="dxa"/>
            <w:gridSpan w:val="5"/>
            <w:tcBorders/>
            <w:shd w:color="auto" w:fill="FFF2CC" w:themeFill="accent4"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b/>
                <w:bCs/>
                <w:kern w:val="0"/>
                <w:sz w:val="20"/>
                <w:szCs w:val="20"/>
                <w:lang w:val="pt-BR" w:bidi="ar-SA"/>
              </w:rPr>
              <w:t>Mediadores(as):</w:t>
            </w:r>
            <w:r>
              <w:rPr>
                <w:rFonts w:eastAsia="Calibri" w:cs="Times New Roman" w:ascii="Times New Roman" w:hAnsi="Times New Roman"/>
                <w:kern w:val="0"/>
                <w:sz w:val="20"/>
                <w:szCs w:val="20"/>
                <w:lang w:val="pt-BR" w:bidi="ar-SA"/>
              </w:rPr>
              <w:t xml:space="preserve"> Profa Dra. Patrícia Romagnolli e equipes da Prograd/DOP e Proec.</w:t>
            </w:r>
          </w:p>
        </w:tc>
      </w:tr>
      <w:tr>
        <w:trPr/>
        <w:tc>
          <w:tcPr>
            <w:tcW w:w="9069" w:type="dxa"/>
            <w:gridSpan w:val="5"/>
            <w:tcBorders/>
            <w:shd w:color="auto" w:fill="FFF2CC" w:themeFill="accent4" w:themeFillTint="33"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 xml:space="preserve">Público-alvo: </w:t>
            </w:r>
            <w:r>
              <w:rPr>
                <w:rFonts w:eastAsia="Calibri" w:cs="Times New Roman" w:ascii="Times New Roman" w:hAnsi="Times New Roman"/>
                <w:kern w:val="0"/>
                <w:sz w:val="20"/>
                <w:szCs w:val="20"/>
                <w:lang w:val="pt-BR" w:bidi="ar-SA"/>
              </w:rPr>
              <w:t>GTs, Colegiados de Cursos, NDEs, Coordenações, professores e demais interessados.</w:t>
            </w:r>
          </w:p>
        </w:tc>
      </w:tr>
      <w:tr>
        <w:trPr/>
        <w:tc>
          <w:tcPr>
            <w:tcW w:w="9069" w:type="dxa"/>
            <w:gridSpan w:val="5"/>
            <w:tcBorders/>
            <w:shd w:color="auto" w:fill="FFF2CC" w:themeFill="accent4" w:themeFillTint="33" w:val="clear"/>
          </w:tcPr>
          <w:p>
            <w:pPr>
              <w:pStyle w:val="Normal"/>
              <w:widowControl w:val="false"/>
              <w:suppressAutoHyphens w:val="true"/>
              <w:spacing w:lineRule="auto" w:line="240" w:before="0" w:after="0"/>
              <w:jc w:val="both"/>
              <w:rPr/>
            </w:pPr>
            <w:r>
              <w:rPr>
                <w:rFonts w:eastAsia="Calibri" w:cs="Times New Roman" w:ascii="Times New Roman" w:hAnsi="Times New Roman"/>
                <w:kern w:val="0"/>
                <w:sz w:val="20"/>
                <w:szCs w:val="20"/>
                <w:lang w:val="pt-BR" w:bidi="ar-SA"/>
              </w:rPr>
              <w:t xml:space="preserve">Obs: Este módulo será desenvolvido de forma </w:t>
            </w:r>
            <w:r>
              <w:rPr>
                <w:rFonts w:eastAsia="Calibri" w:cs="Times New Roman" w:ascii="Times New Roman" w:hAnsi="Times New Roman"/>
                <w:i/>
                <w:iCs/>
                <w:kern w:val="0"/>
                <w:sz w:val="20"/>
                <w:szCs w:val="20"/>
                <w:lang w:val="pt-BR" w:bidi="ar-SA"/>
              </w:rPr>
              <w:t>on-line</w:t>
            </w:r>
            <w:r>
              <w:rPr>
                <w:rFonts w:eastAsia="Calibri" w:cs="Times New Roman" w:ascii="Times New Roman" w:hAnsi="Times New Roman"/>
                <w:kern w:val="0"/>
                <w:sz w:val="20"/>
                <w:szCs w:val="20"/>
                <w:lang w:val="pt-BR" w:bidi="ar-SA"/>
              </w:rPr>
              <w:t xml:space="preserve">, via Webex (sala da PROGRAD </w:t>
            </w:r>
            <w:hyperlink r:id="rId2">
              <w:r>
                <w:rPr>
                  <w:rStyle w:val="LinkdaInternet"/>
                  <w:rFonts w:eastAsia="Calibri" w:cs="Times New Roman" w:ascii="Times New Roman" w:hAnsi="Times New Roman"/>
                  <w:kern w:val="0"/>
                  <w:sz w:val="20"/>
                  <w:szCs w:val="20"/>
                  <w:lang w:val="pt-BR" w:bidi="ar-SA"/>
                </w:rPr>
                <w:t>https://uffs.webex.com/join/prograd</w:t>
              </w:r>
            </w:hyperlink>
            <w:r>
              <w:rPr>
                <w:rFonts w:eastAsia="Calibri" w:cs="Times New Roman" w:ascii="Times New Roman" w:hAnsi="Times New Roman"/>
                <w:kern w:val="0"/>
                <w:sz w:val="20"/>
                <w:szCs w:val="20"/>
                <w:lang w:val="pt-BR" w:bidi="ar-SA"/>
              </w:rPr>
              <w:t xml:space="preserve">). </w:t>
            </w:r>
          </w:p>
        </w:tc>
      </w:tr>
      <w:tr>
        <w:trPr/>
        <w:tc>
          <w:tcPr>
            <w:tcW w:w="1183" w:type="dxa"/>
            <w:tcBorders/>
            <w:shd w:color="auto" w:fill="D9D9D9" w:themeFill="background1" w:themeFillShade="d9"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4"/>
                <w:szCs w:val="24"/>
                <w:lang w:val="pt-BR" w:bidi="ar-SA"/>
              </w:rPr>
              <w:t>Módulo</w:t>
            </w:r>
          </w:p>
        </w:tc>
        <w:tc>
          <w:tcPr>
            <w:tcW w:w="2635"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Tema</w:t>
            </w:r>
          </w:p>
        </w:tc>
        <w:tc>
          <w:tcPr>
            <w:tcW w:w="1705"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Coordenação</w:t>
            </w:r>
          </w:p>
        </w:tc>
        <w:tc>
          <w:tcPr>
            <w:tcW w:w="139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Data</w:t>
            </w:r>
          </w:p>
        </w:tc>
        <w:tc>
          <w:tcPr>
            <w:tcW w:w="215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Horário</w:t>
            </w:r>
          </w:p>
        </w:tc>
      </w:tr>
      <w:tr>
        <w:trPr/>
        <w:tc>
          <w:tcPr>
            <w:tcW w:w="1183" w:type="dxa"/>
            <w:tcBorders/>
            <w:shd w:color="auto" w:fill="FBE4D5" w:themeFill="accent2" w:themeFillTint="33"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Módulo 2</w:t>
            </w:r>
          </w:p>
        </w:tc>
        <w:tc>
          <w:tcPr>
            <w:tcW w:w="2635" w:type="dxa"/>
            <w:tcBorders/>
            <w:shd w:color="auto" w:fill="FBE4D5" w:themeFill="accent2"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-O impacto da matriz OCC/Andifes na Universidade;</w:t>
            </w:r>
          </w:p>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kern w:val="0"/>
                <w:sz w:val="20"/>
                <w:szCs w:val="20"/>
                <w:lang w:val="pt-BR" w:bidi="ar-SA"/>
              </w:rPr>
              <w:t>-Qualidade e indicadores educacionais.</w:t>
            </w:r>
          </w:p>
        </w:tc>
        <w:tc>
          <w:tcPr>
            <w:tcW w:w="1705" w:type="dxa"/>
            <w:tcBorders/>
            <w:shd w:color="auto" w:fill="FBE4D5" w:themeFill="accent2" w:themeFillTint="33"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Prograd/DOP</w:t>
            </w:r>
          </w:p>
          <w:p>
            <w:pPr>
              <w:pStyle w:val="Normal"/>
              <w:widowControl w:val="false"/>
              <w:suppressAutoHyphens w:val="true"/>
              <w:spacing w:lineRule="auto" w:line="240" w:before="0" w:after="0"/>
              <w:jc w:val="center"/>
              <w:rPr>
                <w:rFonts w:ascii="Times New Roman" w:hAnsi="Times New Roman" w:cs="Times New Roman"/>
                <w:i/>
                <w:i/>
                <w:iCs/>
                <w:sz w:val="20"/>
                <w:szCs w:val="20"/>
              </w:rPr>
            </w:pPr>
            <w:r>
              <w:rPr>
                <w:rFonts w:eastAsia="Calibri" w:cs="Times New Roman" w:ascii="Times New Roman" w:hAnsi="Times New Roman"/>
                <w:kern w:val="0"/>
                <w:sz w:val="20"/>
                <w:szCs w:val="20"/>
                <w:lang w:val="pt-BR" w:bidi="ar-SA"/>
              </w:rPr>
              <w:t>Proplan</w:t>
            </w:r>
          </w:p>
        </w:tc>
        <w:tc>
          <w:tcPr>
            <w:tcW w:w="1393" w:type="dxa"/>
            <w:tcBorders/>
            <w:shd w:color="auto" w:fill="FBE4D5" w:themeFill="accent2" w:themeFillTint="33"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12/04/2022</w:t>
            </w:r>
          </w:p>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18"/>
                <w:szCs w:val="18"/>
                <w:lang w:val="pt-BR" w:bidi="ar-SA"/>
              </w:rPr>
              <w:t>(terça-feira)</w:t>
            </w:r>
          </w:p>
        </w:tc>
        <w:tc>
          <w:tcPr>
            <w:tcW w:w="2153" w:type="dxa"/>
            <w:tcBorders/>
            <w:shd w:color="auto" w:fill="FBE4D5" w:themeFill="accent2"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Das 14h às 17h</w:t>
            </w:r>
          </w:p>
        </w:tc>
      </w:tr>
      <w:tr>
        <w:trPr/>
        <w:tc>
          <w:tcPr>
            <w:tcW w:w="9069" w:type="dxa"/>
            <w:gridSpan w:val="5"/>
            <w:tcBorders/>
            <w:shd w:color="auto" w:fill="FBE4D5" w:themeFill="accent2" w:themeFillTint="33"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Temas:</w:t>
            </w:r>
          </w:p>
          <w:p>
            <w:pPr>
              <w:pStyle w:val="ListParagraph"/>
              <w:widowControl w:val="false"/>
              <w:numPr>
                <w:ilvl w:val="0"/>
                <w:numId w:val="2"/>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Conhecendo a matriz OCC/Andifes e o seu impacto na Universidade;</w:t>
            </w:r>
          </w:p>
          <w:p>
            <w:pPr>
              <w:pStyle w:val="ListParagraph"/>
              <w:widowControl w:val="false"/>
              <w:numPr>
                <w:ilvl w:val="0"/>
                <w:numId w:val="2"/>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Indicadores educacionais (IGC, CPC, Enade) nos Cursos de Graduação e na Universidade.</w:t>
            </w:r>
          </w:p>
          <w:p>
            <w:pPr>
              <w:pStyle w:val="ListParagraph"/>
              <w:widowControl w:val="false"/>
              <w:numPr>
                <w:ilvl w:val="0"/>
                <w:numId w:val="2"/>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Diálogos com os cursos de graduação, tira-dúvidas.</w:t>
            </w:r>
          </w:p>
        </w:tc>
      </w:tr>
      <w:tr>
        <w:trPr/>
        <w:tc>
          <w:tcPr>
            <w:tcW w:w="9069" w:type="dxa"/>
            <w:gridSpan w:val="5"/>
            <w:tcBorders/>
            <w:shd w:color="auto" w:fill="FBE4D5" w:themeFill="accent2" w:themeFillTint="33"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Mediadores(as):</w:t>
            </w:r>
            <w:r>
              <w:rPr>
                <w:rFonts w:eastAsia="Calibri" w:cs="Times New Roman" w:ascii="Times New Roman" w:hAnsi="Times New Roman"/>
                <w:kern w:val="0"/>
                <w:sz w:val="20"/>
                <w:szCs w:val="20"/>
                <w:lang w:val="pt-BR" w:bidi="ar-SA"/>
              </w:rPr>
              <w:t xml:space="preserve"> Prof. Dr. Everton Miguel Loretto e equipe da Prograd</w:t>
            </w:r>
          </w:p>
        </w:tc>
      </w:tr>
      <w:tr>
        <w:trPr/>
        <w:tc>
          <w:tcPr>
            <w:tcW w:w="9069" w:type="dxa"/>
            <w:gridSpan w:val="5"/>
            <w:tcBorders/>
            <w:shd w:color="auto" w:fill="FBE4D5" w:themeFill="accent2" w:themeFillTint="33"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 xml:space="preserve">Público-alvo: </w:t>
            </w:r>
            <w:r>
              <w:rPr>
                <w:rFonts w:eastAsia="Calibri" w:cs="Times New Roman" w:ascii="Times New Roman" w:hAnsi="Times New Roman"/>
                <w:kern w:val="0"/>
                <w:sz w:val="20"/>
                <w:szCs w:val="20"/>
                <w:lang w:val="pt-BR" w:bidi="ar-SA"/>
              </w:rPr>
              <w:t>GTs, Colegiados de Cursos, NDEs, Coordenações, professores e demais interessados.</w:t>
            </w:r>
          </w:p>
        </w:tc>
      </w:tr>
      <w:tr>
        <w:trPr/>
        <w:tc>
          <w:tcPr>
            <w:tcW w:w="9069" w:type="dxa"/>
            <w:gridSpan w:val="5"/>
            <w:tcBorders/>
            <w:shd w:color="auto" w:fill="FBE4D5" w:themeFill="accent2" w:themeFillTint="33" w:val="clear"/>
          </w:tcPr>
          <w:p>
            <w:pPr>
              <w:pStyle w:val="Normal"/>
              <w:widowControl w:val="false"/>
              <w:suppressAutoHyphens w:val="true"/>
              <w:spacing w:lineRule="auto" w:line="240" w:before="0" w:after="0"/>
              <w:jc w:val="both"/>
              <w:rPr/>
            </w:pPr>
            <w:r>
              <w:rPr>
                <w:rFonts w:eastAsia="Calibri" w:cs="Times New Roman" w:ascii="Times New Roman" w:hAnsi="Times New Roman"/>
                <w:kern w:val="0"/>
                <w:sz w:val="20"/>
                <w:szCs w:val="20"/>
                <w:lang w:val="pt-BR" w:bidi="ar-SA"/>
              </w:rPr>
              <w:t xml:space="preserve">Obs: Este módulo será desenvolvido de forma </w:t>
            </w:r>
            <w:r>
              <w:rPr>
                <w:rFonts w:eastAsia="Calibri" w:cs="Times New Roman" w:ascii="Times New Roman" w:hAnsi="Times New Roman"/>
                <w:i/>
                <w:iCs/>
                <w:kern w:val="0"/>
                <w:sz w:val="20"/>
                <w:szCs w:val="20"/>
                <w:lang w:val="pt-BR" w:bidi="ar-SA"/>
              </w:rPr>
              <w:t>on-line</w:t>
            </w:r>
            <w:r>
              <w:rPr>
                <w:rFonts w:eastAsia="Calibri" w:cs="Times New Roman" w:ascii="Times New Roman" w:hAnsi="Times New Roman"/>
                <w:kern w:val="0"/>
                <w:sz w:val="20"/>
                <w:szCs w:val="20"/>
                <w:lang w:val="pt-BR" w:bidi="ar-SA"/>
              </w:rPr>
              <w:t xml:space="preserve">, via Webex (sala da PROGRAD </w:t>
            </w:r>
            <w:hyperlink r:id="rId3">
              <w:r>
                <w:rPr>
                  <w:rStyle w:val="LinkdaInternet"/>
                  <w:rFonts w:eastAsia="Calibri" w:cs="Times New Roman" w:ascii="Times New Roman" w:hAnsi="Times New Roman"/>
                  <w:kern w:val="0"/>
                  <w:sz w:val="20"/>
                  <w:szCs w:val="20"/>
                  <w:lang w:val="pt-BR" w:bidi="ar-SA"/>
                </w:rPr>
                <w:t>https://uffs.webex.com/join/prograd</w:t>
              </w:r>
            </w:hyperlink>
            <w:r>
              <w:rPr>
                <w:rFonts w:eastAsia="Calibri" w:cs="Times New Roman" w:ascii="Times New Roman" w:hAnsi="Times New Roman"/>
                <w:kern w:val="0"/>
                <w:sz w:val="20"/>
                <w:szCs w:val="20"/>
                <w:lang w:val="pt-BR" w:bidi="ar-SA"/>
              </w:rPr>
              <w:t xml:space="preserve">). </w:t>
            </w:r>
          </w:p>
        </w:tc>
      </w:tr>
      <w:tr>
        <w:trPr/>
        <w:tc>
          <w:tcPr>
            <w:tcW w:w="1183" w:type="dxa"/>
            <w:tcBorders/>
            <w:shd w:color="auto" w:fill="F2F2F2" w:themeFill="background1" w:themeFillShade="f2"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Módulo</w:t>
            </w:r>
          </w:p>
        </w:tc>
        <w:tc>
          <w:tcPr>
            <w:tcW w:w="2635" w:type="dxa"/>
            <w:tcBorders/>
            <w:shd w:color="auto" w:fill="F2F2F2" w:themeFill="background1" w:themeFillShade="f2" w:val="clear"/>
          </w:tcPr>
          <w:p>
            <w:pPr>
              <w:pStyle w:val="Normal"/>
              <w:widowControl w:val="false"/>
              <w:suppressAutoHyphens w:val="true"/>
              <w:spacing w:lineRule="auto" w:line="240" w:before="0" w:after="0"/>
              <w:jc w:val="center"/>
              <w:rPr>
                <w:rFonts w:ascii="Times New Roman" w:hAnsi="Times New Roman" w:cs="Times New Roman"/>
                <w:b/>
                <w:b/>
                <w:bCs/>
                <w:sz w:val="20"/>
                <w:szCs w:val="20"/>
              </w:rPr>
            </w:pPr>
            <w:r>
              <w:rPr>
                <w:rFonts w:eastAsia="Calibri" w:cs="Times New Roman" w:ascii="Times New Roman" w:hAnsi="Times New Roman"/>
                <w:b/>
                <w:bCs/>
                <w:kern w:val="0"/>
                <w:sz w:val="24"/>
                <w:szCs w:val="24"/>
                <w:lang w:val="pt-BR" w:bidi="ar-SA"/>
              </w:rPr>
              <w:t>Tema</w:t>
            </w:r>
          </w:p>
        </w:tc>
        <w:tc>
          <w:tcPr>
            <w:tcW w:w="1705" w:type="dxa"/>
            <w:tcBorders/>
            <w:shd w:color="auto" w:fill="F2F2F2" w:themeFill="background1" w:themeFillShade="f2"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Coordenação</w:t>
            </w:r>
          </w:p>
        </w:tc>
        <w:tc>
          <w:tcPr>
            <w:tcW w:w="1393" w:type="dxa"/>
            <w:tcBorders/>
            <w:shd w:color="auto" w:fill="F2F2F2" w:themeFill="background1" w:themeFillShade="f2"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Data</w:t>
            </w:r>
          </w:p>
        </w:tc>
        <w:tc>
          <w:tcPr>
            <w:tcW w:w="2153" w:type="dxa"/>
            <w:tcBorders/>
            <w:shd w:color="auto" w:fill="F2F2F2" w:themeFill="background1" w:themeFillShade="f2"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Horário</w:t>
            </w:r>
          </w:p>
        </w:tc>
      </w:tr>
      <w:tr>
        <w:trPr/>
        <w:tc>
          <w:tcPr>
            <w:tcW w:w="1183" w:type="dxa"/>
            <w:tcBorders/>
            <w:shd w:color="auto" w:fill="D9E2F3" w:themeFill="accent1" w:themeFillTint="33" w:val="clear"/>
          </w:tcPr>
          <w:p>
            <w:pPr>
              <w:pStyle w:val="Normal"/>
              <w:widowControl w:val="false"/>
              <w:suppressAutoHyphens w:val="true"/>
              <w:spacing w:lineRule="auto" w:line="240" w:before="0" w:after="0"/>
              <w:jc w:val="center"/>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Módulo 3</w:t>
            </w:r>
          </w:p>
        </w:tc>
        <w:tc>
          <w:tcPr>
            <w:tcW w:w="2635" w:type="dxa"/>
            <w:tcBorders/>
            <w:shd w:color="auto" w:fill="D9E2F3" w:themeFill="accent1" w:themeFillTint="33"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-Estudo do curso de graduação a partir do diagnóstico</w:t>
            </w:r>
            <w:r>
              <w:rPr>
                <w:rFonts w:eastAsia="Calibri" w:cs="Times New Roman" w:ascii="Times New Roman" w:hAnsi="Times New Roman"/>
                <w:kern w:val="0"/>
                <w:sz w:val="20"/>
                <w:szCs w:val="20"/>
                <w:lang w:val="pt-BR" w:bidi="ar-SA"/>
              </w:rPr>
              <w:t xml:space="preserve"> (potencialidades e fragilidades): evasão, nº de matrículas/retenção, avaliação de cursos de graduação/CPA, entre outros.</w:t>
            </w:r>
          </w:p>
        </w:tc>
        <w:tc>
          <w:tcPr>
            <w:tcW w:w="1705" w:type="dxa"/>
            <w:tcBorders/>
            <w:shd w:color="auto" w:fill="D9E2F3" w:themeFill="accent1" w:themeFillTint="33"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Prograd/PI</w:t>
            </w:r>
          </w:p>
        </w:tc>
        <w:tc>
          <w:tcPr>
            <w:tcW w:w="1393" w:type="dxa"/>
            <w:tcBorders/>
            <w:shd w:color="auto" w:fill="D9E2F3" w:themeFill="accent1" w:themeFillTint="33"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04/05/2022</w:t>
            </w:r>
          </w:p>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(quarta-feira)</w:t>
            </w:r>
          </w:p>
        </w:tc>
        <w:tc>
          <w:tcPr>
            <w:tcW w:w="2153" w:type="dxa"/>
            <w:tcBorders/>
            <w:shd w:color="auto" w:fill="D9E2F3" w:themeFill="accent1"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Das 14h às 17h</w:t>
            </w:r>
          </w:p>
        </w:tc>
      </w:tr>
      <w:tr>
        <w:trPr/>
        <w:tc>
          <w:tcPr>
            <w:tcW w:w="9069" w:type="dxa"/>
            <w:gridSpan w:val="5"/>
            <w:tcBorders/>
            <w:shd w:color="auto" w:fill="D9E2F3" w:themeFill="accent1" w:themeFillTint="33"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Temas:</w:t>
            </w:r>
          </w:p>
          <w:p>
            <w:pPr>
              <w:pStyle w:val="ListParagraph"/>
              <w:widowControl w:val="false"/>
              <w:numPr>
                <w:ilvl w:val="0"/>
                <w:numId w:val="3"/>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Diagnóstico de um curso de graduação a partir do estudo/análise de dados e indicadores de evasão, nº de matrículas/retenção, avaliação de cursos/CPA, entre outros;</w:t>
            </w:r>
          </w:p>
          <w:p>
            <w:pPr>
              <w:pStyle w:val="ListParagraph"/>
              <w:widowControl w:val="false"/>
              <w:numPr>
                <w:ilvl w:val="0"/>
                <w:numId w:val="3"/>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Os trabalhos e atividades das Comissões de Evasão na UFFS: possibilidades e estratégias;</w:t>
            </w:r>
          </w:p>
          <w:p>
            <w:pPr>
              <w:pStyle w:val="ListParagraph"/>
              <w:widowControl w:val="false"/>
              <w:numPr>
                <w:ilvl w:val="0"/>
                <w:numId w:val="3"/>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 xml:space="preserve">Apresentação de </w:t>
            </w:r>
            <w:r>
              <w:rPr>
                <w:rFonts w:eastAsia="Calibri" w:cs="Times New Roman" w:ascii="Times New Roman" w:hAnsi="Times New Roman"/>
                <w:i/>
                <w:iCs/>
                <w:kern w:val="0"/>
                <w:sz w:val="20"/>
                <w:szCs w:val="20"/>
                <w:lang w:val="pt-BR" w:bidi="ar-SA"/>
              </w:rPr>
              <w:t>Power BI</w:t>
            </w:r>
            <w:r>
              <w:rPr>
                <w:rFonts w:eastAsia="Calibri" w:cs="Times New Roman" w:ascii="Times New Roman" w:hAnsi="Times New Roman"/>
                <w:kern w:val="0"/>
                <w:sz w:val="20"/>
                <w:szCs w:val="20"/>
                <w:lang w:val="pt-BR" w:bidi="ar-SA"/>
              </w:rPr>
              <w:t xml:space="preserve"> específicos;</w:t>
            </w:r>
          </w:p>
          <w:p>
            <w:pPr>
              <w:pStyle w:val="ListParagraph"/>
              <w:widowControl w:val="false"/>
              <w:numPr>
                <w:ilvl w:val="0"/>
                <w:numId w:val="3"/>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Diálogo com os participantes.</w:t>
            </w:r>
          </w:p>
        </w:tc>
      </w:tr>
      <w:tr>
        <w:trPr/>
        <w:tc>
          <w:tcPr>
            <w:tcW w:w="9069" w:type="dxa"/>
            <w:gridSpan w:val="5"/>
            <w:tcBorders/>
            <w:shd w:color="auto" w:fill="D9E2F3" w:themeFill="accent1"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b/>
                <w:bCs/>
                <w:kern w:val="0"/>
                <w:sz w:val="20"/>
                <w:szCs w:val="20"/>
                <w:lang w:val="pt-BR" w:bidi="ar-SA"/>
              </w:rPr>
              <w:t>Mediadores(as):</w:t>
            </w:r>
            <w:r>
              <w:rPr>
                <w:rFonts w:eastAsia="Calibri" w:cs="Times New Roman" w:ascii="Times New Roman" w:hAnsi="Times New Roman"/>
                <w:kern w:val="0"/>
                <w:sz w:val="20"/>
                <w:szCs w:val="20"/>
                <w:lang w:val="pt-BR" w:bidi="ar-SA"/>
              </w:rPr>
              <w:t xml:space="preserve"> Me. Márcio Luft (PI), </w:t>
            </w:r>
            <w:r>
              <w:rPr>
                <w:rFonts w:eastAsia="Calibri" w:cs="Times New Roman" w:ascii="Times New Roman" w:hAnsi="Times New Roman"/>
                <w:color w:val="222222"/>
                <w:kern w:val="0"/>
                <w:sz w:val="20"/>
                <w:szCs w:val="20"/>
                <w:shd w:fill="D9E2F3" w:val="clear"/>
                <w:lang w:val="pt-BR" w:bidi="ar-SA"/>
              </w:rPr>
              <w:t>Esp. Maiquel Tesser (Prograd/DRA),</w:t>
            </w:r>
            <w:r>
              <w:rPr>
                <w:rFonts w:eastAsia="Calibri" w:cs="Times New Roman" w:ascii="Times New Roman" w:hAnsi="Times New Roman"/>
                <w:kern w:val="0"/>
                <w:sz w:val="20"/>
                <w:szCs w:val="20"/>
                <w:shd w:fill="D9E2F3" w:val="clear"/>
                <w:lang w:val="pt-BR" w:bidi="ar-SA"/>
              </w:rPr>
              <w:t xml:space="preserve"> Me. </w:t>
            </w:r>
            <w:r>
              <w:rPr>
                <w:rFonts w:eastAsia="Calibri" w:cs="Times New Roman" w:ascii="Times New Roman" w:hAnsi="Times New Roman"/>
                <w:color w:val="222222"/>
                <w:kern w:val="0"/>
                <w:sz w:val="20"/>
                <w:szCs w:val="20"/>
                <w:shd w:fill="D9E2F3" w:val="clear"/>
                <w:lang w:val="pt-BR" w:bidi="ar-SA"/>
              </w:rPr>
              <w:t>Lilian Wrzesinski Simon (Prograd/DRA) e Mdo. Pedro Castro (Prograd/DRA).</w:t>
            </w:r>
          </w:p>
        </w:tc>
      </w:tr>
      <w:tr>
        <w:trPr/>
        <w:tc>
          <w:tcPr>
            <w:tcW w:w="9069" w:type="dxa"/>
            <w:gridSpan w:val="5"/>
            <w:tcBorders/>
            <w:shd w:color="auto" w:fill="D9E2F3" w:themeFill="accent1"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b/>
                <w:bCs/>
                <w:kern w:val="0"/>
                <w:sz w:val="20"/>
                <w:szCs w:val="20"/>
                <w:lang w:val="pt-BR" w:bidi="ar-SA"/>
              </w:rPr>
              <w:t xml:space="preserve">Público-alvo: </w:t>
            </w:r>
            <w:r>
              <w:rPr>
                <w:rFonts w:eastAsia="Calibri" w:cs="Times New Roman" w:ascii="Times New Roman" w:hAnsi="Times New Roman"/>
                <w:kern w:val="0"/>
                <w:sz w:val="20"/>
                <w:szCs w:val="20"/>
                <w:lang w:val="pt-BR" w:bidi="ar-SA"/>
              </w:rPr>
              <w:t>GTs, Colegiados de Cursos, NDEs, Coordenações, professores e demais interessados.</w:t>
            </w:r>
          </w:p>
        </w:tc>
      </w:tr>
      <w:tr>
        <w:trPr/>
        <w:tc>
          <w:tcPr>
            <w:tcW w:w="9069" w:type="dxa"/>
            <w:gridSpan w:val="5"/>
            <w:tcBorders/>
            <w:shd w:color="auto" w:fill="D9E2F3" w:themeFill="accent1" w:themeFillTint="33" w:val="clear"/>
          </w:tcPr>
          <w:p>
            <w:pPr>
              <w:pStyle w:val="Normal"/>
              <w:widowControl w:val="false"/>
              <w:suppressAutoHyphens w:val="true"/>
              <w:spacing w:lineRule="auto" w:line="240" w:before="0" w:after="0"/>
              <w:jc w:val="both"/>
              <w:rPr/>
            </w:pPr>
            <w:r>
              <w:rPr>
                <w:rFonts w:eastAsia="Calibri" w:cs="Times New Roman" w:ascii="Times New Roman" w:hAnsi="Times New Roman"/>
                <w:kern w:val="0"/>
                <w:sz w:val="20"/>
                <w:szCs w:val="20"/>
                <w:lang w:val="pt-BR" w:bidi="ar-SA"/>
              </w:rPr>
              <w:t xml:space="preserve">Obs: Este módulo será desenvolvido de forma </w:t>
            </w:r>
            <w:r>
              <w:rPr>
                <w:rFonts w:eastAsia="Calibri" w:cs="Times New Roman" w:ascii="Times New Roman" w:hAnsi="Times New Roman"/>
                <w:i/>
                <w:iCs/>
                <w:kern w:val="0"/>
                <w:sz w:val="20"/>
                <w:szCs w:val="20"/>
                <w:lang w:val="pt-BR" w:bidi="ar-SA"/>
              </w:rPr>
              <w:t>on-line</w:t>
            </w:r>
            <w:r>
              <w:rPr>
                <w:rFonts w:eastAsia="Calibri" w:cs="Times New Roman" w:ascii="Times New Roman" w:hAnsi="Times New Roman"/>
                <w:kern w:val="0"/>
                <w:sz w:val="20"/>
                <w:szCs w:val="20"/>
                <w:lang w:val="pt-BR" w:bidi="ar-SA"/>
              </w:rPr>
              <w:t xml:space="preserve">, via Webex (sala da PROGRAD </w:t>
            </w:r>
            <w:hyperlink r:id="rId4">
              <w:r>
                <w:rPr>
                  <w:rStyle w:val="LinkdaInternet"/>
                  <w:rFonts w:eastAsia="Calibri" w:cs="Times New Roman" w:ascii="Times New Roman" w:hAnsi="Times New Roman"/>
                  <w:kern w:val="0"/>
                  <w:sz w:val="20"/>
                  <w:szCs w:val="20"/>
                  <w:lang w:val="pt-BR" w:bidi="ar-SA"/>
                </w:rPr>
                <w:t>https://uffs.webex.com/join/prograd</w:t>
              </w:r>
            </w:hyperlink>
            <w:r>
              <w:rPr>
                <w:rFonts w:eastAsia="Calibri" w:cs="Times New Roman" w:ascii="Times New Roman" w:hAnsi="Times New Roman"/>
                <w:kern w:val="0"/>
                <w:sz w:val="20"/>
                <w:szCs w:val="20"/>
                <w:lang w:val="pt-BR" w:bidi="ar-SA"/>
              </w:rPr>
              <w:t xml:space="preserve">). </w:t>
            </w:r>
          </w:p>
        </w:tc>
      </w:tr>
      <w:tr>
        <w:trPr/>
        <w:tc>
          <w:tcPr>
            <w:tcW w:w="118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Módulo</w:t>
            </w:r>
          </w:p>
        </w:tc>
        <w:tc>
          <w:tcPr>
            <w:tcW w:w="2635"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b/>
                <w:b/>
                <w:bCs/>
                <w:sz w:val="20"/>
                <w:szCs w:val="20"/>
              </w:rPr>
            </w:pPr>
            <w:r>
              <w:rPr>
                <w:rFonts w:eastAsia="Calibri" w:cs="Times New Roman" w:ascii="Times New Roman" w:hAnsi="Times New Roman"/>
                <w:b/>
                <w:bCs/>
                <w:kern w:val="0"/>
                <w:sz w:val="24"/>
                <w:szCs w:val="24"/>
                <w:lang w:val="pt-BR" w:bidi="ar-SA"/>
              </w:rPr>
              <w:t>Tema</w:t>
            </w:r>
          </w:p>
        </w:tc>
        <w:tc>
          <w:tcPr>
            <w:tcW w:w="1705"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Coordenação</w:t>
            </w:r>
          </w:p>
        </w:tc>
        <w:tc>
          <w:tcPr>
            <w:tcW w:w="139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Data</w:t>
            </w:r>
          </w:p>
        </w:tc>
        <w:tc>
          <w:tcPr>
            <w:tcW w:w="215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Horário</w:t>
            </w:r>
          </w:p>
        </w:tc>
      </w:tr>
      <w:tr>
        <w:trPr/>
        <w:tc>
          <w:tcPr>
            <w:tcW w:w="1183" w:type="dxa"/>
            <w:tcBorders/>
            <w:shd w:color="auto" w:fill="E2EFD9" w:themeFill="accent6" w:themeFillTint="33" w:val="clear"/>
          </w:tcPr>
          <w:p>
            <w:pPr>
              <w:pStyle w:val="Normal"/>
              <w:widowControl w:val="false"/>
              <w:suppressAutoHyphens w:val="true"/>
              <w:spacing w:lineRule="auto" w:line="240" w:before="0" w:after="0"/>
              <w:jc w:val="center"/>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Módulo 4</w:t>
            </w:r>
          </w:p>
        </w:tc>
        <w:tc>
          <w:tcPr>
            <w:tcW w:w="2635" w:type="dxa"/>
            <w:tcBorders/>
            <w:shd w:color="auto" w:fill="E2EFD9" w:themeFill="accent6"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-Currículo e ensino de graduação: desafios na Universidade</w:t>
            </w:r>
          </w:p>
        </w:tc>
        <w:tc>
          <w:tcPr>
            <w:tcW w:w="1705" w:type="dxa"/>
            <w:tcBorders/>
            <w:shd w:color="auto" w:fill="E2EFD9" w:themeFill="accent6" w:themeFillTint="33"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Prograd/DOP</w:t>
            </w:r>
          </w:p>
        </w:tc>
        <w:tc>
          <w:tcPr>
            <w:tcW w:w="1393" w:type="dxa"/>
            <w:tcBorders/>
            <w:shd w:color="auto" w:fill="E2EFD9" w:themeFill="accent6" w:themeFillTint="33"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12/05/2022</w:t>
            </w:r>
          </w:p>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(quinta-feira)</w:t>
            </w:r>
          </w:p>
        </w:tc>
        <w:tc>
          <w:tcPr>
            <w:tcW w:w="2153" w:type="dxa"/>
            <w:tcBorders/>
            <w:shd w:color="auto" w:fill="E2EFD9" w:themeFill="accent6"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Das 8h30min às 12h</w:t>
            </w:r>
          </w:p>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cs="Times New Roman" w:ascii="Times New Roman" w:hAnsi="Times New Roman"/>
                <w:b/>
                <w:bCs/>
                <w:sz w:val="20"/>
                <w:szCs w:val="20"/>
              </w:rPr>
            </w:r>
          </w:p>
        </w:tc>
      </w:tr>
      <w:tr>
        <w:trPr/>
        <w:tc>
          <w:tcPr>
            <w:tcW w:w="9069" w:type="dxa"/>
            <w:gridSpan w:val="5"/>
            <w:tcBorders/>
            <w:shd w:color="auto" w:fill="E2EFD9" w:themeFill="accent6" w:themeFillTint="33"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Temas:</w:t>
            </w:r>
          </w:p>
          <w:p>
            <w:pPr>
              <w:pStyle w:val="ListParagraph"/>
              <w:widowControl w:val="false"/>
              <w:numPr>
                <w:ilvl w:val="0"/>
                <w:numId w:val="4"/>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Os desafios do currículo e do ensino de graduação na Universidade Pública;</w:t>
            </w:r>
          </w:p>
          <w:p>
            <w:pPr>
              <w:pStyle w:val="ListParagraph"/>
              <w:widowControl w:val="false"/>
              <w:numPr>
                <w:ilvl w:val="0"/>
                <w:numId w:val="4"/>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A Universidade Pública e os desafios da pós-pandemia.</w:t>
            </w:r>
          </w:p>
          <w:p>
            <w:pPr>
              <w:pStyle w:val="ListParagraph"/>
              <w:widowControl w:val="false"/>
              <w:numPr>
                <w:ilvl w:val="0"/>
                <w:numId w:val="4"/>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Diálogo com os participantes.</w:t>
            </w:r>
          </w:p>
        </w:tc>
      </w:tr>
      <w:tr>
        <w:trPr/>
        <w:tc>
          <w:tcPr>
            <w:tcW w:w="9069" w:type="dxa"/>
            <w:gridSpan w:val="5"/>
            <w:tcBorders/>
            <w:shd w:color="auto" w:fill="E2EFD9" w:themeFill="accent6" w:themeFillTint="33"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 xml:space="preserve">Mediadores: </w:t>
            </w:r>
            <w:r>
              <w:rPr>
                <w:rFonts w:eastAsia="Calibri" w:cs="Times New Roman" w:ascii="Times New Roman" w:hAnsi="Times New Roman"/>
                <w:kern w:val="0"/>
                <w:sz w:val="20"/>
                <w:szCs w:val="20"/>
                <w:lang w:val="pt-BR" w:bidi="ar-SA"/>
              </w:rPr>
              <w:t>Profa Dra. Maria do Socorro de Lima Oliveira (Presidente do COGRAD/ANDIFES)</w:t>
            </w:r>
          </w:p>
        </w:tc>
      </w:tr>
      <w:tr>
        <w:trPr/>
        <w:tc>
          <w:tcPr>
            <w:tcW w:w="9069" w:type="dxa"/>
            <w:gridSpan w:val="5"/>
            <w:tcBorders/>
            <w:shd w:color="auto" w:fill="E2EFD9" w:themeFill="accent6"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b/>
                <w:bCs/>
                <w:kern w:val="0"/>
                <w:sz w:val="20"/>
                <w:szCs w:val="20"/>
                <w:lang w:val="pt-BR" w:bidi="ar-SA"/>
              </w:rPr>
              <w:t>Público-alvo:</w:t>
            </w:r>
            <w:r>
              <w:rPr>
                <w:rFonts w:eastAsia="Calibri" w:cs="Times New Roman" w:ascii="Times New Roman" w:hAnsi="Times New Roman"/>
                <w:kern w:val="0"/>
                <w:sz w:val="20"/>
                <w:szCs w:val="20"/>
                <w:lang w:val="pt-BR" w:bidi="ar-SA"/>
              </w:rPr>
              <w:t xml:space="preserve"> GTs, Colegiados de Cursos, NDEs, Coordenações, professores e demais interessados.</w:t>
            </w:r>
          </w:p>
        </w:tc>
      </w:tr>
      <w:tr>
        <w:trPr/>
        <w:tc>
          <w:tcPr>
            <w:tcW w:w="9069" w:type="dxa"/>
            <w:gridSpan w:val="5"/>
            <w:tcBorders/>
            <w:shd w:color="auto" w:fill="E2EFD9" w:themeFill="accent6" w:themeFillTint="33" w:val="clear"/>
          </w:tcPr>
          <w:p>
            <w:pPr>
              <w:pStyle w:val="Normal"/>
              <w:widowControl w:val="false"/>
              <w:suppressAutoHyphens w:val="true"/>
              <w:spacing w:lineRule="auto" w:line="240" w:before="0" w:after="0"/>
              <w:jc w:val="both"/>
              <w:rPr/>
            </w:pPr>
            <w:r>
              <w:rPr>
                <w:rFonts w:eastAsia="Calibri" w:cs="Times New Roman" w:ascii="Times New Roman" w:hAnsi="Times New Roman"/>
                <w:kern w:val="0"/>
                <w:sz w:val="20"/>
                <w:szCs w:val="20"/>
                <w:lang w:val="pt-BR" w:bidi="ar-SA"/>
              </w:rPr>
              <w:t xml:space="preserve">Obs: Este módulo será desenvolvido de forma </w:t>
            </w:r>
            <w:r>
              <w:rPr>
                <w:rFonts w:eastAsia="Calibri" w:cs="Times New Roman" w:ascii="Times New Roman" w:hAnsi="Times New Roman"/>
                <w:i/>
                <w:iCs/>
                <w:kern w:val="0"/>
                <w:sz w:val="20"/>
                <w:szCs w:val="20"/>
                <w:lang w:val="pt-BR" w:bidi="ar-SA"/>
              </w:rPr>
              <w:t>on-line</w:t>
            </w:r>
            <w:r>
              <w:rPr>
                <w:rFonts w:eastAsia="Calibri" w:cs="Times New Roman" w:ascii="Times New Roman" w:hAnsi="Times New Roman"/>
                <w:kern w:val="0"/>
                <w:sz w:val="20"/>
                <w:szCs w:val="20"/>
                <w:lang w:val="pt-BR" w:bidi="ar-SA"/>
              </w:rPr>
              <w:t xml:space="preserve">, via Webex (sala da PROGRAD </w:t>
            </w:r>
            <w:hyperlink r:id="rId5">
              <w:r>
                <w:rPr>
                  <w:rStyle w:val="LinkdaInternet"/>
                  <w:rFonts w:eastAsia="Calibri" w:cs="Times New Roman" w:ascii="Times New Roman" w:hAnsi="Times New Roman"/>
                  <w:kern w:val="0"/>
                  <w:sz w:val="20"/>
                  <w:szCs w:val="20"/>
                  <w:lang w:val="pt-BR" w:bidi="ar-SA"/>
                </w:rPr>
                <w:t>https://uffs.webex.com/join/prograd</w:t>
              </w:r>
            </w:hyperlink>
            <w:r>
              <w:rPr>
                <w:rFonts w:eastAsia="Calibri" w:cs="Times New Roman" w:ascii="Times New Roman" w:hAnsi="Times New Roman"/>
                <w:kern w:val="0"/>
                <w:sz w:val="20"/>
                <w:szCs w:val="20"/>
                <w:lang w:val="pt-BR" w:bidi="ar-SA"/>
              </w:rPr>
              <w:t xml:space="preserve">). </w:t>
            </w:r>
          </w:p>
        </w:tc>
      </w:tr>
      <w:tr>
        <w:trPr/>
        <w:tc>
          <w:tcPr>
            <w:tcW w:w="118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Módulo</w:t>
            </w:r>
          </w:p>
        </w:tc>
        <w:tc>
          <w:tcPr>
            <w:tcW w:w="2635"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b/>
                <w:b/>
                <w:bCs/>
                <w:sz w:val="20"/>
                <w:szCs w:val="20"/>
              </w:rPr>
            </w:pPr>
            <w:r>
              <w:rPr>
                <w:rFonts w:eastAsia="Calibri" w:cs="Times New Roman" w:ascii="Times New Roman" w:hAnsi="Times New Roman"/>
                <w:b/>
                <w:bCs/>
                <w:kern w:val="0"/>
                <w:sz w:val="24"/>
                <w:szCs w:val="24"/>
                <w:lang w:val="pt-BR" w:bidi="ar-SA"/>
              </w:rPr>
              <w:t>Tema</w:t>
            </w:r>
          </w:p>
        </w:tc>
        <w:tc>
          <w:tcPr>
            <w:tcW w:w="1705"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Coordenação</w:t>
            </w:r>
          </w:p>
        </w:tc>
        <w:tc>
          <w:tcPr>
            <w:tcW w:w="139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Data</w:t>
            </w:r>
          </w:p>
        </w:tc>
        <w:tc>
          <w:tcPr>
            <w:tcW w:w="215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Horário</w:t>
            </w:r>
          </w:p>
        </w:tc>
      </w:tr>
      <w:tr>
        <w:trPr/>
        <w:tc>
          <w:tcPr>
            <w:tcW w:w="1183" w:type="dxa"/>
            <w:tcBorders/>
            <w:shd w:color="auto" w:fill="E2EFD9" w:themeFill="accent6" w:themeFillTint="33"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Módulo 5</w:t>
            </w:r>
          </w:p>
        </w:tc>
        <w:tc>
          <w:tcPr>
            <w:tcW w:w="2635" w:type="dxa"/>
            <w:tcBorders/>
            <w:shd w:color="auto" w:fill="E2EFD9" w:themeFill="accent6"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Resolução CNE/CP nº 2, de 20 de dezembro de 2019 (abordagem técnica)</w:t>
            </w:r>
          </w:p>
        </w:tc>
        <w:tc>
          <w:tcPr>
            <w:tcW w:w="1705" w:type="dxa"/>
            <w:tcBorders/>
            <w:shd w:color="auto" w:fill="E2EFD9" w:themeFill="accent6" w:themeFillTint="33"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Prograd/DOP</w:t>
            </w:r>
          </w:p>
        </w:tc>
        <w:tc>
          <w:tcPr>
            <w:tcW w:w="1393" w:type="dxa"/>
            <w:tcBorders/>
            <w:shd w:color="auto" w:fill="E2EFD9" w:themeFill="accent6" w:themeFillTint="33"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19/05/2022</w:t>
            </w:r>
          </w:p>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(quinta-feira)</w:t>
            </w:r>
          </w:p>
        </w:tc>
        <w:tc>
          <w:tcPr>
            <w:tcW w:w="2153" w:type="dxa"/>
            <w:tcBorders/>
            <w:shd w:color="auto" w:fill="E2EFD9" w:themeFill="accent6"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Das 14h às 16h</w:t>
            </w:r>
          </w:p>
        </w:tc>
      </w:tr>
      <w:tr>
        <w:trPr/>
        <w:tc>
          <w:tcPr>
            <w:tcW w:w="9069" w:type="dxa"/>
            <w:gridSpan w:val="5"/>
            <w:tcBorders/>
            <w:shd w:color="auto" w:fill="E2EFD9" w:themeFill="accent6" w:themeFillTint="33"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Tema:</w:t>
            </w:r>
          </w:p>
          <w:p>
            <w:pPr>
              <w:pStyle w:val="ListParagraph"/>
              <w:widowControl w:val="false"/>
              <w:numPr>
                <w:ilvl w:val="0"/>
                <w:numId w:val="5"/>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Conhecendo a Resolução CNE/CP nº 2, de 20 de dezembro de 2019 (abordagem técnica)</w:t>
            </w:r>
          </w:p>
          <w:p>
            <w:pPr>
              <w:pStyle w:val="ListParagraph"/>
              <w:widowControl w:val="false"/>
              <w:numPr>
                <w:ilvl w:val="0"/>
                <w:numId w:val="5"/>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Diálogo com os participantes.</w:t>
            </w:r>
          </w:p>
        </w:tc>
      </w:tr>
      <w:tr>
        <w:trPr/>
        <w:tc>
          <w:tcPr>
            <w:tcW w:w="9069" w:type="dxa"/>
            <w:gridSpan w:val="5"/>
            <w:tcBorders/>
            <w:shd w:color="auto" w:fill="E2EFD9" w:themeFill="accent6"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b/>
                <w:bCs/>
                <w:kern w:val="0"/>
                <w:sz w:val="20"/>
                <w:szCs w:val="20"/>
                <w:lang w:val="pt-BR" w:bidi="ar-SA"/>
              </w:rPr>
              <w:t>Mediadores:</w:t>
            </w:r>
            <w:r>
              <w:rPr>
                <w:rFonts w:eastAsia="Calibri" w:cs="Times New Roman" w:ascii="Times New Roman" w:hAnsi="Times New Roman"/>
                <w:kern w:val="0"/>
                <w:sz w:val="20"/>
                <w:szCs w:val="20"/>
                <w:lang w:val="pt-BR" w:bidi="ar-SA"/>
              </w:rPr>
              <w:t xml:space="preserve"> Representante da CTAA/INEP/MEC (Subcolegiado de Educação) ou COGRAD, a confirmar.</w:t>
            </w:r>
          </w:p>
        </w:tc>
      </w:tr>
      <w:tr>
        <w:trPr/>
        <w:tc>
          <w:tcPr>
            <w:tcW w:w="9069" w:type="dxa"/>
            <w:gridSpan w:val="5"/>
            <w:tcBorders/>
            <w:shd w:color="auto" w:fill="E2EFD9" w:themeFill="accent6" w:themeFillTint="33"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b/>
                <w:bCs/>
                <w:kern w:val="0"/>
                <w:sz w:val="20"/>
                <w:szCs w:val="20"/>
                <w:lang w:val="pt-BR" w:bidi="ar-SA"/>
              </w:rPr>
              <w:t>Público-alvo:</w:t>
            </w:r>
            <w:r>
              <w:rPr>
                <w:rFonts w:eastAsia="Calibri" w:cs="Times New Roman" w:ascii="Times New Roman" w:hAnsi="Times New Roman"/>
                <w:kern w:val="0"/>
                <w:sz w:val="20"/>
                <w:szCs w:val="20"/>
                <w:lang w:val="pt-BR" w:bidi="ar-SA"/>
              </w:rPr>
              <w:t xml:space="preserve"> Cursos de Licenciaturas (GTs, Colegiados de Cursos, NDEs, Coordenações, professores e demais interessados).</w:t>
            </w:r>
          </w:p>
        </w:tc>
      </w:tr>
      <w:tr>
        <w:trPr/>
        <w:tc>
          <w:tcPr>
            <w:tcW w:w="9069" w:type="dxa"/>
            <w:gridSpan w:val="5"/>
            <w:tcBorders/>
            <w:shd w:color="auto" w:fill="E2EFD9" w:themeFill="accent6" w:themeFillTint="33" w:val="clear"/>
          </w:tcPr>
          <w:p>
            <w:pPr>
              <w:pStyle w:val="Normal"/>
              <w:widowControl w:val="false"/>
              <w:suppressAutoHyphens w:val="true"/>
              <w:spacing w:lineRule="auto" w:line="240" w:before="0" w:after="0"/>
              <w:jc w:val="both"/>
              <w:rPr/>
            </w:pPr>
            <w:r>
              <w:rPr>
                <w:rFonts w:eastAsia="Calibri" w:cs="Times New Roman" w:ascii="Times New Roman" w:hAnsi="Times New Roman"/>
                <w:kern w:val="0"/>
                <w:sz w:val="20"/>
                <w:szCs w:val="20"/>
                <w:lang w:val="pt-BR" w:bidi="ar-SA"/>
              </w:rPr>
              <w:t xml:space="preserve">Obs: Este módulo será desenvolvido de forma </w:t>
            </w:r>
            <w:r>
              <w:rPr>
                <w:rFonts w:eastAsia="Calibri" w:cs="Times New Roman" w:ascii="Times New Roman" w:hAnsi="Times New Roman"/>
                <w:i/>
                <w:iCs/>
                <w:kern w:val="0"/>
                <w:sz w:val="20"/>
                <w:szCs w:val="20"/>
                <w:lang w:val="pt-BR" w:bidi="ar-SA"/>
              </w:rPr>
              <w:t>on-line</w:t>
            </w:r>
            <w:r>
              <w:rPr>
                <w:rFonts w:eastAsia="Calibri" w:cs="Times New Roman" w:ascii="Times New Roman" w:hAnsi="Times New Roman"/>
                <w:kern w:val="0"/>
                <w:sz w:val="20"/>
                <w:szCs w:val="20"/>
                <w:lang w:val="pt-BR" w:bidi="ar-SA"/>
              </w:rPr>
              <w:t xml:space="preserve">, via Webex (sala da PROGRAD </w:t>
            </w:r>
            <w:hyperlink r:id="rId6">
              <w:r>
                <w:rPr>
                  <w:rStyle w:val="LinkdaInternet"/>
                  <w:rFonts w:eastAsia="Calibri" w:cs="Times New Roman" w:ascii="Times New Roman" w:hAnsi="Times New Roman"/>
                  <w:kern w:val="0"/>
                  <w:sz w:val="20"/>
                  <w:szCs w:val="20"/>
                  <w:lang w:val="pt-BR" w:bidi="ar-SA"/>
                </w:rPr>
                <w:t>https://uffs.webex.com/join/prograd</w:t>
              </w:r>
            </w:hyperlink>
            <w:r>
              <w:rPr>
                <w:rFonts w:eastAsia="Calibri" w:cs="Times New Roman" w:ascii="Times New Roman" w:hAnsi="Times New Roman"/>
                <w:kern w:val="0"/>
                <w:sz w:val="20"/>
                <w:szCs w:val="20"/>
                <w:lang w:val="pt-BR" w:bidi="ar-SA"/>
              </w:rPr>
              <w:t xml:space="preserve">). </w:t>
            </w:r>
          </w:p>
        </w:tc>
      </w:tr>
      <w:tr>
        <w:trPr/>
        <w:tc>
          <w:tcPr>
            <w:tcW w:w="118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b/>
                <w:b/>
                <w:bCs/>
                <w:sz w:val="20"/>
                <w:szCs w:val="20"/>
              </w:rPr>
            </w:pPr>
            <w:r>
              <w:rPr>
                <w:rFonts w:eastAsia="Calibri" w:cs="Times New Roman" w:ascii="Times New Roman" w:hAnsi="Times New Roman"/>
                <w:b/>
                <w:bCs/>
                <w:kern w:val="0"/>
                <w:sz w:val="24"/>
                <w:szCs w:val="24"/>
                <w:lang w:val="pt-BR" w:bidi="ar-SA"/>
              </w:rPr>
              <w:t>Módulo</w:t>
            </w:r>
          </w:p>
        </w:tc>
        <w:tc>
          <w:tcPr>
            <w:tcW w:w="2635"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Tema</w:t>
            </w:r>
          </w:p>
        </w:tc>
        <w:tc>
          <w:tcPr>
            <w:tcW w:w="1705"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Coordenação</w:t>
            </w:r>
          </w:p>
        </w:tc>
        <w:tc>
          <w:tcPr>
            <w:tcW w:w="139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Data</w:t>
            </w:r>
          </w:p>
        </w:tc>
        <w:tc>
          <w:tcPr>
            <w:tcW w:w="2153"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b/>
                <w:bCs/>
                <w:kern w:val="0"/>
                <w:sz w:val="24"/>
                <w:szCs w:val="24"/>
                <w:lang w:val="pt-BR" w:bidi="ar-SA"/>
              </w:rPr>
              <w:t>Horário</w:t>
            </w:r>
          </w:p>
        </w:tc>
      </w:tr>
      <w:tr>
        <w:trPr/>
        <w:tc>
          <w:tcPr>
            <w:tcW w:w="1183" w:type="dxa"/>
            <w:tcBorders/>
            <w:shd w:color="auto" w:fill="FFCCFF"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Módulo 6</w:t>
            </w:r>
          </w:p>
        </w:tc>
        <w:tc>
          <w:tcPr>
            <w:tcW w:w="2635" w:type="dxa"/>
            <w:tcBorders/>
            <w:shd w:color="auto" w:fill="FFCCFF"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Políticas de Inovação na UFFS</w:t>
            </w:r>
          </w:p>
        </w:tc>
        <w:tc>
          <w:tcPr>
            <w:tcW w:w="1705" w:type="dxa"/>
            <w:tcBorders/>
            <w:shd w:color="auto" w:fill="FFCCFF"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Prograd/DOP</w:t>
            </w:r>
          </w:p>
        </w:tc>
        <w:tc>
          <w:tcPr>
            <w:tcW w:w="1393" w:type="dxa"/>
            <w:tcBorders/>
            <w:shd w:color="auto" w:fill="FFCCFF"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24/05/2022</w:t>
            </w:r>
          </w:p>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(terça-feira)</w:t>
            </w:r>
          </w:p>
        </w:tc>
        <w:tc>
          <w:tcPr>
            <w:tcW w:w="2153" w:type="dxa"/>
            <w:tcBorders/>
            <w:shd w:color="auto" w:fill="FFCCFF" w:val="clea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pt-BR" w:bidi="ar-SA"/>
              </w:rPr>
              <w:t>Das 8h30min às 12h</w:t>
            </w:r>
          </w:p>
        </w:tc>
      </w:tr>
      <w:tr>
        <w:trPr/>
        <w:tc>
          <w:tcPr>
            <w:tcW w:w="9069" w:type="dxa"/>
            <w:gridSpan w:val="5"/>
            <w:tcBorders/>
            <w:shd w:color="auto" w:fill="FFCCFF" w:val="clear"/>
          </w:tcPr>
          <w:p>
            <w:pPr>
              <w:pStyle w:val="ListParagraph"/>
              <w:widowControl w:val="false"/>
              <w:numPr>
                <w:ilvl w:val="0"/>
                <w:numId w:val="6"/>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A inovação na educação superior;</w:t>
            </w:r>
          </w:p>
          <w:p>
            <w:pPr>
              <w:pStyle w:val="ListParagraph"/>
              <w:widowControl w:val="false"/>
              <w:numPr>
                <w:ilvl w:val="0"/>
                <w:numId w:val="6"/>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Conhecendo as Políticas de Inovação na/da UFFS;</w:t>
            </w:r>
          </w:p>
          <w:p>
            <w:pPr>
              <w:pStyle w:val="ListParagraph"/>
              <w:widowControl w:val="false"/>
              <w:numPr>
                <w:ilvl w:val="0"/>
                <w:numId w:val="6"/>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Diálogo com os participantes.</w:t>
            </w:r>
          </w:p>
        </w:tc>
      </w:tr>
      <w:tr>
        <w:trPr/>
        <w:tc>
          <w:tcPr>
            <w:tcW w:w="9069" w:type="dxa"/>
            <w:gridSpan w:val="5"/>
            <w:tcBorders/>
            <w:shd w:color="auto" w:fill="FFCCFF"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 xml:space="preserve">Mediadores: </w:t>
            </w:r>
          </w:p>
        </w:tc>
      </w:tr>
      <w:tr>
        <w:trPr/>
        <w:tc>
          <w:tcPr>
            <w:tcW w:w="9069" w:type="dxa"/>
            <w:gridSpan w:val="5"/>
            <w:tcBorders/>
            <w:shd w:color="auto" w:fill="FFCCFF"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b/>
                <w:bCs/>
                <w:kern w:val="0"/>
                <w:sz w:val="20"/>
                <w:szCs w:val="20"/>
                <w:lang w:val="pt-BR" w:bidi="ar-SA"/>
              </w:rPr>
              <w:t>Público-alvo:</w:t>
            </w:r>
            <w:r>
              <w:rPr>
                <w:rFonts w:eastAsia="Calibri" w:cs="Times New Roman" w:ascii="Times New Roman" w:hAnsi="Times New Roman"/>
                <w:kern w:val="0"/>
                <w:sz w:val="20"/>
                <w:szCs w:val="20"/>
                <w:lang w:val="pt-BR" w:bidi="ar-SA"/>
              </w:rPr>
              <w:t xml:space="preserve"> GTs, Colegiados de Cursos, NDEs, Coordenações, professores e demais interessados.</w:t>
            </w:r>
          </w:p>
        </w:tc>
      </w:tr>
      <w:tr>
        <w:trPr/>
        <w:tc>
          <w:tcPr>
            <w:tcW w:w="9069" w:type="dxa"/>
            <w:gridSpan w:val="5"/>
            <w:tcBorders/>
            <w:shd w:color="auto" w:fill="FFCCFF" w:val="clear"/>
          </w:tcPr>
          <w:p>
            <w:pPr>
              <w:pStyle w:val="Normal"/>
              <w:widowControl w:val="false"/>
              <w:suppressAutoHyphens w:val="true"/>
              <w:spacing w:lineRule="auto" w:line="240" w:before="0" w:after="0"/>
              <w:jc w:val="both"/>
              <w:rPr/>
            </w:pPr>
            <w:r>
              <w:rPr>
                <w:rFonts w:eastAsia="Calibri" w:cs="Times New Roman" w:ascii="Times New Roman" w:hAnsi="Times New Roman"/>
                <w:kern w:val="0"/>
                <w:sz w:val="20"/>
                <w:szCs w:val="20"/>
                <w:lang w:val="pt-BR" w:bidi="ar-SA"/>
              </w:rPr>
              <w:t xml:space="preserve">Obs: Este módulo será desenvolvido de forma </w:t>
            </w:r>
            <w:r>
              <w:rPr>
                <w:rFonts w:eastAsia="Calibri" w:cs="Times New Roman" w:ascii="Times New Roman" w:hAnsi="Times New Roman"/>
                <w:i/>
                <w:iCs/>
                <w:kern w:val="0"/>
                <w:sz w:val="20"/>
                <w:szCs w:val="20"/>
                <w:lang w:val="pt-BR" w:bidi="ar-SA"/>
              </w:rPr>
              <w:t>on-line</w:t>
            </w:r>
            <w:r>
              <w:rPr>
                <w:rFonts w:eastAsia="Calibri" w:cs="Times New Roman" w:ascii="Times New Roman" w:hAnsi="Times New Roman"/>
                <w:kern w:val="0"/>
                <w:sz w:val="20"/>
                <w:szCs w:val="20"/>
                <w:lang w:val="pt-BR" w:bidi="ar-SA"/>
              </w:rPr>
              <w:t xml:space="preserve">, via Webex (sala da PROGRAD </w:t>
            </w:r>
            <w:hyperlink r:id="rId7">
              <w:r>
                <w:rPr>
                  <w:rStyle w:val="LinkdaInternet"/>
                  <w:rFonts w:eastAsia="Calibri" w:cs="Times New Roman" w:ascii="Times New Roman" w:hAnsi="Times New Roman"/>
                  <w:kern w:val="0"/>
                  <w:sz w:val="20"/>
                  <w:szCs w:val="20"/>
                  <w:lang w:val="pt-BR" w:bidi="ar-SA"/>
                </w:rPr>
                <w:t>https://uffs.webex.com/join/prograd</w:t>
              </w:r>
            </w:hyperlink>
            <w:r>
              <w:rPr>
                <w:rFonts w:eastAsia="Calibri" w:cs="Times New Roman" w:ascii="Times New Roman" w:hAnsi="Times New Roman"/>
                <w:kern w:val="0"/>
                <w:sz w:val="20"/>
                <w:szCs w:val="20"/>
                <w:lang w:val="pt-BR" w:bidi="ar-SA"/>
              </w:rPr>
              <w:t xml:space="preserve">). </w:t>
            </w:r>
          </w:p>
        </w:tc>
      </w:tr>
    </w:tbl>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2 CRONOGRAMA, PRAZOS E SITUAÇÕES ESPECIAIS</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sz w:val="24"/>
          <w:szCs w:val="24"/>
        </w:rPr>
        <w:t>O cronograma e os prazos relativos às reformulações dos PPCs na UFFS foram organizados em respeito à legislação vigente na data de expedição deste ofício. De um modo geral, os novos normativos externos (MEC/CNE) que precisam ser atendidos pelos cursos de graduação da UFFS estão apresentados no quadro a seguir:</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bl>
      <w:tblPr>
        <w:tblStyle w:val="Tabelacomgrade"/>
        <w:tblW w:w="9071" w:type="dxa"/>
        <w:jc w:val="left"/>
        <w:tblInd w:w="0" w:type="dxa"/>
        <w:tblCellMar>
          <w:top w:w="0" w:type="dxa"/>
          <w:left w:w="108" w:type="dxa"/>
          <w:bottom w:w="0" w:type="dxa"/>
          <w:right w:w="108" w:type="dxa"/>
        </w:tblCellMar>
        <w:tblLook w:firstRow="1" w:noVBand="1" w:lastRow="0" w:firstColumn="1" w:lastColumn="0" w:noHBand="0" w:val="04a0"/>
      </w:tblPr>
      <w:tblGrid>
        <w:gridCol w:w="4257"/>
        <w:gridCol w:w="213"/>
        <w:gridCol w:w="4600"/>
      </w:tblGrid>
      <w:tr>
        <w:trPr/>
        <w:tc>
          <w:tcPr>
            <w:tcW w:w="4470" w:type="dxa"/>
            <w:gridSpan w:val="2"/>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b/>
                <w:b/>
                <w:bCs/>
                <w:sz w:val="24"/>
                <w:szCs w:val="24"/>
              </w:rPr>
            </w:pPr>
            <w:r>
              <w:rPr>
                <w:rFonts w:eastAsia="Calibri" w:cs="Times New Roman" w:ascii="Times New Roman" w:hAnsi="Times New Roman"/>
                <w:b/>
                <w:bCs/>
                <w:kern w:val="0"/>
                <w:sz w:val="24"/>
                <w:szCs w:val="24"/>
                <w:lang w:val="pt-BR" w:bidi="ar-SA"/>
              </w:rPr>
              <w:t>Normativo</w:t>
            </w:r>
          </w:p>
        </w:tc>
        <w:tc>
          <w:tcPr>
            <w:tcW w:w="4600"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b/>
                <w:b/>
                <w:bCs/>
                <w:sz w:val="24"/>
                <w:szCs w:val="24"/>
              </w:rPr>
            </w:pPr>
            <w:r>
              <w:rPr>
                <w:rFonts w:eastAsia="Calibri" w:cs="Times New Roman" w:ascii="Times New Roman" w:hAnsi="Times New Roman"/>
                <w:b/>
                <w:bCs/>
                <w:kern w:val="0"/>
                <w:sz w:val="24"/>
                <w:szCs w:val="24"/>
                <w:lang w:val="pt-BR" w:bidi="ar-SA"/>
              </w:rPr>
              <w:t>Prazo para implantação</w:t>
            </w:r>
          </w:p>
        </w:tc>
      </w:tr>
      <w:tr>
        <w:trPr/>
        <w:tc>
          <w:tcPr>
            <w:tcW w:w="4470" w:type="dxa"/>
            <w:gridSpan w:val="2"/>
            <w:tcBorders/>
            <w:shd w:fill="auto"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highlight w:val="white"/>
              </w:rPr>
            </w:pPr>
            <w:r>
              <w:rPr>
                <w:rFonts w:eastAsia="Calibri" w:cs="Times New Roman" w:ascii="Times New Roman" w:hAnsi="Times New Roman"/>
                <w:b/>
                <w:bCs/>
                <w:color w:val="162937"/>
                <w:kern w:val="0"/>
                <w:sz w:val="20"/>
                <w:szCs w:val="20"/>
                <w:shd w:fill="FFFFFF" w:val="clear"/>
                <w:lang w:val="pt-BR" w:bidi="ar-SA"/>
              </w:rPr>
              <w:t>Resolução CNE/CES nº 7, de 18 de dezembro de 2018</w:t>
            </w:r>
            <w:r>
              <w:rPr>
                <w:rFonts w:eastAsia="Calibri" w:cs="Times New Roman" w:ascii="Times New Roman" w:hAnsi="Times New Roman"/>
                <w:color w:val="162937"/>
                <w:kern w:val="0"/>
                <w:sz w:val="20"/>
                <w:szCs w:val="20"/>
                <w:shd w:fill="FFFFFF" w:val="clear"/>
                <w:lang w:val="pt-BR" w:bidi="ar-SA"/>
              </w:rPr>
              <w:t>:</w:t>
            </w:r>
            <w:r>
              <w:rPr>
                <w:rFonts w:eastAsia="Calibri" w:cs="Times New Roman" w:ascii="Times New Roman" w:hAnsi="Times New Roman"/>
                <w:color w:val="000000" w:themeColor="text1"/>
                <w:kern w:val="0"/>
                <w:sz w:val="20"/>
                <w:szCs w:val="20"/>
                <w:shd w:fill="FFFFFF" w:val="clear"/>
                <w:lang w:val="pt-BR" w:bidi="ar-SA"/>
              </w:rPr>
              <w:t xml:space="preserve"> Estabelece as Diretrizes para a Extensão na Educação Superior Brasileira e regimenta o disposto na Meta 12.7 da Lei nº 13.005/2014, que aprova o Plano Nacional de Educação – PNE 2014-2024 e dá outras providências.</w:t>
            </w:r>
          </w:p>
          <w:p>
            <w:pPr>
              <w:pStyle w:val="Normal"/>
              <w:widowControl w:val="false"/>
              <w:suppressAutoHyphens w:val="true"/>
              <w:spacing w:lineRule="auto" w:line="240" w:before="0" w:after="0"/>
              <w:jc w:val="both"/>
              <w:rPr>
                <w:rFonts w:ascii="Times New Roman" w:hAnsi="Times New Roman" w:cs="Times New Roman"/>
                <w:color w:val="162937"/>
                <w:sz w:val="20"/>
                <w:szCs w:val="20"/>
                <w:highlight w:val="white"/>
              </w:rPr>
            </w:pPr>
            <w:r>
              <w:rPr>
                <w:rFonts w:cs="Times New Roman" w:ascii="Times New Roman" w:hAnsi="Times New Roman"/>
                <w:color w:val="162937"/>
                <w:sz w:val="20"/>
                <w:szCs w:val="20"/>
                <w:highlight w:val="white"/>
              </w:rPr>
            </w:r>
          </w:p>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color w:val="FF0000"/>
                <w:kern w:val="0"/>
                <w:sz w:val="20"/>
                <w:szCs w:val="20"/>
                <w:shd w:fill="FFFFFF" w:val="clear"/>
                <w:lang w:val="pt-BR" w:bidi="ar-SA"/>
              </w:rPr>
              <w:t>(Aplicável a todos os cursos de graduação da UFFS: bacharelados e licenciaturas)</w:t>
            </w:r>
          </w:p>
        </w:tc>
        <w:tc>
          <w:tcPr>
            <w:tcW w:w="4600" w:type="dxa"/>
            <w:tcBorders/>
            <w:shd w:fill="auto"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O prazo original para atendimento à presente normativa, (nos termos do artigo 19 da Resolução CNE/CES nº 7, de 18 de dezembro de 2018), encerrou-se em 19/12/2021. No entanto, por força do Parecer CNE/CES nº 498/2020, aprovado em 06 de agosto de 2020, (publicado no D.O.U. de 28 de dezembro de 2020, Seção 1, p.168), a esse prazo foi adicionado mais 01 (um) ano. Assim, o novo prazo encerra-se em 19/12/2022.</w:t>
            </w:r>
          </w:p>
        </w:tc>
      </w:tr>
      <w:tr>
        <w:trPr/>
        <w:tc>
          <w:tcPr>
            <w:tcW w:w="9070" w:type="dxa"/>
            <w:gridSpan w:val="3"/>
            <w:tcBorders/>
            <w:shd w:fill="auto"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Link de acesso:</w:t>
            </w:r>
          </w:p>
          <w:p>
            <w:pPr>
              <w:pStyle w:val="ListParagraph"/>
              <w:widowControl w:val="false"/>
              <w:numPr>
                <w:ilvl w:val="0"/>
                <w:numId w:val="7"/>
              </w:numPr>
              <w:suppressAutoHyphens w:val="true"/>
              <w:spacing w:lineRule="auto" w:line="240" w:before="0" w:after="0"/>
              <w:contextualSpacing/>
              <w:jc w:val="both"/>
              <w:rPr/>
            </w:pPr>
            <w:r>
              <w:rPr>
                <w:rFonts w:eastAsia="Calibri" w:cs="Times New Roman" w:ascii="Times New Roman" w:hAnsi="Times New Roman"/>
                <w:b/>
                <w:bCs/>
                <w:kern w:val="0"/>
                <w:sz w:val="20"/>
                <w:szCs w:val="20"/>
                <w:lang w:val="pt-BR" w:bidi="ar-SA"/>
              </w:rPr>
              <w:t>Resolução CNE/CES nº 7, de 18 de dezembro de 2018:</w:t>
            </w:r>
            <w:r>
              <w:rPr>
                <w:rFonts w:eastAsia="Calibri" w:cs="Times New Roman" w:ascii="Times New Roman" w:hAnsi="Times New Roman"/>
                <w:kern w:val="0"/>
                <w:sz w:val="20"/>
                <w:szCs w:val="20"/>
                <w:lang w:val="pt-BR" w:bidi="ar-SA"/>
              </w:rPr>
              <w:t xml:space="preserve"> </w:t>
            </w:r>
            <w:hyperlink r:id="rId8">
              <w:r>
                <w:rPr>
                  <w:rStyle w:val="LinkdaInternet"/>
                  <w:rFonts w:eastAsia="Calibri" w:cs="Times New Roman" w:ascii="Times New Roman" w:hAnsi="Times New Roman"/>
                  <w:kern w:val="0"/>
                  <w:sz w:val="20"/>
                  <w:szCs w:val="20"/>
                  <w:lang w:val="pt-BR" w:bidi="ar-SA"/>
                </w:rPr>
                <w:t>https://www.in.gov.br/materia/-/asset_publisher/Kujrw0TZC2Mb/content/id/55877808</w:t>
              </w:r>
            </w:hyperlink>
          </w:p>
          <w:p>
            <w:pPr>
              <w:pStyle w:val="ListParagraph"/>
              <w:widowControl w:val="false"/>
              <w:numPr>
                <w:ilvl w:val="0"/>
                <w:numId w:val="7"/>
              </w:numPr>
              <w:suppressAutoHyphens w:val="true"/>
              <w:spacing w:lineRule="auto" w:line="240" w:before="0" w:after="0"/>
              <w:contextualSpacing/>
              <w:jc w:val="both"/>
              <w:rPr/>
            </w:pPr>
            <w:r>
              <w:rPr>
                <w:rFonts w:eastAsia="Calibri" w:cs="Times New Roman" w:ascii="Times New Roman" w:hAnsi="Times New Roman"/>
                <w:b/>
                <w:bCs/>
                <w:kern w:val="0"/>
                <w:sz w:val="20"/>
                <w:szCs w:val="20"/>
                <w:lang w:val="pt-BR" w:bidi="ar-SA"/>
              </w:rPr>
              <w:t>Parecer CNE/CES nº 498/2020, aprovado em 06 de agosto de 2020 (prorrogação de prazo)</w:t>
            </w:r>
            <w:r>
              <w:rPr>
                <w:rFonts w:eastAsia="Calibri" w:cs="Times New Roman" w:ascii="Times New Roman" w:hAnsi="Times New Roman"/>
                <w:kern w:val="0"/>
                <w:sz w:val="20"/>
                <w:szCs w:val="20"/>
                <w:lang w:val="pt-BR" w:bidi="ar-SA"/>
              </w:rPr>
              <w:t xml:space="preserve">: </w:t>
            </w:r>
            <w:hyperlink r:id="rId9">
              <w:r>
                <w:rPr>
                  <w:rStyle w:val="LinkdaInternet"/>
                  <w:rFonts w:eastAsia="Calibri" w:cs="Times New Roman" w:ascii="Times New Roman" w:hAnsi="Times New Roman"/>
                  <w:kern w:val="0"/>
                  <w:sz w:val="20"/>
                  <w:szCs w:val="20"/>
                  <w:lang w:val="pt-BR" w:bidi="ar-SA"/>
                </w:rPr>
                <w:t>http://portal.mec.gov.br/docman/setembro-2020-pdf/157501-pces498-20/file</w:t>
              </w:r>
            </w:hyperlink>
          </w:p>
        </w:tc>
      </w:tr>
      <w:tr>
        <w:trPr/>
        <w:tc>
          <w:tcPr>
            <w:tcW w:w="9070" w:type="dxa"/>
            <w:gridSpan w:val="3"/>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cs="Times New Roman" w:ascii="Times New Roman" w:hAnsi="Times New Roman"/>
                <w:b/>
                <w:bCs/>
                <w:sz w:val="20"/>
                <w:szCs w:val="20"/>
              </w:rPr>
            </w:r>
          </w:p>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b/>
                <w:bCs/>
                <w:kern w:val="0"/>
                <w:sz w:val="20"/>
                <w:szCs w:val="20"/>
                <w:lang w:val="pt-BR" w:bidi="ar-SA"/>
              </w:rPr>
              <w:t>Atenção:</w:t>
            </w:r>
            <w:r>
              <w:rPr>
                <w:rFonts w:eastAsia="Calibri" w:cs="Times New Roman" w:ascii="Times New Roman" w:hAnsi="Times New Roman"/>
                <w:kern w:val="0"/>
                <w:sz w:val="20"/>
                <w:szCs w:val="20"/>
                <w:lang w:val="pt-BR" w:bidi="ar-SA"/>
              </w:rPr>
              <w:t xml:space="preserve"> Na UFFS houve a aprovação/publicação, em dezembro de 2021, da Resolução nº 93/CONSUNI/UFFS/2021 (Diretrizes da Inserção das Atividades da Extensão no Currículo). Esta política deve ser observada por todos os cursos de graduação da UFFS no processo de reformulação dos PPCs.</w:t>
            </w:r>
          </w:p>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Link de acesso:</w:t>
            </w:r>
          </w:p>
          <w:p>
            <w:pPr>
              <w:pStyle w:val="ListParagraph"/>
              <w:widowControl w:val="false"/>
              <w:suppressAutoHyphens w:val="true"/>
              <w:spacing w:lineRule="auto" w:line="240" w:before="0" w:after="0"/>
              <w:contextualSpacing/>
              <w:jc w:val="both"/>
              <w:rPr>
                <w:b/>
                <w:b/>
                <w:bCs/>
              </w:rPr>
            </w:pPr>
            <w:r>
              <w:rPr>
                <w:rFonts w:eastAsia="Calibri" w:cs="Times New Roman" w:ascii="Times New Roman" w:hAnsi="Times New Roman"/>
                <w:b/>
                <w:bCs/>
                <w:kern w:val="0"/>
                <w:sz w:val="20"/>
                <w:szCs w:val="20"/>
                <w:lang w:val="pt-BR" w:bidi="ar-SA"/>
              </w:rPr>
              <w:t>Resolução nº 93/CONSUNI/UFFS/2021:</w:t>
            </w:r>
          </w:p>
          <w:p>
            <w:pPr>
              <w:pStyle w:val="ListParagraph"/>
              <w:widowControl w:val="false"/>
              <w:suppressAutoHyphens w:val="true"/>
              <w:spacing w:lineRule="auto" w:line="240" w:before="0" w:after="0"/>
              <w:contextualSpacing/>
              <w:jc w:val="both"/>
              <w:rPr/>
            </w:pPr>
            <w:hyperlink r:id="rId10">
              <w:r>
                <w:rPr>
                  <w:rStyle w:val="LinkdaInternet"/>
                  <w:rFonts w:eastAsia="Calibri" w:cs="Times New Roman" w:ascii="Times New Roman" w:hAnsi="Times New Roman"/>
                  <w:kern w:val="0"/>
                  <w:sz w:val="20"/>
                  <w:szCs w:val="20"/>
                  <w:lang w:val="pt-BR" w:bidi="ar-SA"/>
                </w:rPr>
                <w:t>https://www-mgm.uffs.edu.br/atos-normativos/resolucao/consuni/2021-0093</w:t>
              </w:r>
            </w:hyperlink>
            <w:r>
              <w:rPr>
                <w:rFonts w:eastAsia="Calibri" w:cs="Times New Roman" w:ascii="Times New Roman" w:hAnsi="Times New Roman"/>
                <w:kern w:val="0"/>
                <w:sz w:val="20"/>
                <w:szCs w:val="20"/>
                <w:lang w:val="pt-BR" w:bidi="ar-SA"/>
              </w:rPr>
              <w:t xml:space="preserve"> </w:t>
            </w:r>
          </w:p>
          <w:p>
            <w:pPr>
              <w:pStyle w:val="ListParagraph"/>
              <w:widowControl w:val="false"/>
              <w:suppressAutoHyphens w:val="true"/>
              <w:spacing w:lineRule="auto" w:line="240" w:before="0" w:after="0"/>
              <w:ind w:left="1440" w:hanging="0"/>
              <w:contextualSpacing/>
              <w:jc w:val="both"/>
              <w:rPr>
                <w:rFonts w:ascii="Times New Roman" w:hAnsi="Times New Roman" w:cs="Times New Roman"/>
                <w:sz w:val="20"/>
                <w:szCs w:val="20"/>
              </w:rPr>
            </w:pPr>
            <w:r>
              <w:rPr>
                <w:rFonts w:cs="Times New Roman" w:ascii="Times New Roman" w:hAnsi="Times New Roman"/>
                <w:sz w:val="20"/>
                <w:szCs w:val="20"/>
              </w:rPr>
            </w:r>
          </w:p>
        </w:tc>
      </w:tr>
      <w:tr>
        <w:trPr/>
        <w:tc>
          <w:tcPr>
            <w:tcW w:w="4470" w:type="dxa"/>
            <w:gridSpan w:val="2"/>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b/>
                <w:bCs/>
                <w:kern w:val="0"/>
                <w:sz w:val="24"/>
                <w:szCs w:val="24"/>
                <w:lang w:val="pt-BR" w:bidi="ar-SA"/>
              </w:rPr>
              <w:t>Normativo</w:t>
            </w:r>
          </w:p>
        </w:tc>
        <w:tc>
          <w:tcPr>
            <w:tcW w:w="4600"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b/>
                <w:bCs/>
                <w:kern w:val="0"/>
                <w:sz w:val="24"/>
                <w:szCs w:val="24"/>
                <w:lang w:val="pt-BR" w:bidi="ar-SA"/>
              </w:rPr>
              <w:t>Prazo para implantação</w:t>
            </w:r>
          </w:p>
        </w:tc>
      </w:tr>
      <w:tr>
        <w:trPr/>
        <w:tc>
          <w:tcPr>
            <w:tcW w:w="4470" w:type="dxa"/>
            <w:gridSpan w:val="2"/>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b/>
                <w:bCs/>
                <w:kern w:val="0"/>
                <w:sz w:val="20"/>
                <w:szCs w:val="20"/>
                <w:lang w:val="pt-BR" w:bidi="ar-SA"/>
              </w:rPr>
              <w:t>Resolução CNE/CP nº 2, de 20 de dezembro de 2019:</w:t>
            </w:r>
            <w:r>
              <w:rPr>
                <w:rFonts w:eastAsia="Calibri" w:cs="Times New Roman" w:ascii="Times New Roman" w:hAnsi="Times New Roman"/>
                <w:kern w:val="0"/>
                <w:sz w:val="20"/>
                <w:szCs w:val="20"/>
                <w:lang w:val="pt-BR" w:bidi="ar-SA"/>
              </w:rPr>
              <w:t xml:space="preserve"> Define as Diretrizes Curriculares Nacionais para a Formação Inicial de Professores para a Educação Básica e institui a Base Nacional Comum para a Formação Inicial de Professores da Educação Básica (BNC-Formação).</w:t>
            </w:r>
          </w:p>
          <w:p>
            <w:pPr>
              <w:pStyle w:val="Normal"/>
              <w:widowControl w:val="false"/>
              <w:suppressAutoHyphens w:val="true"/>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suppressAutoHyphens w:val="true"/>
              <w:spacing w:lineRule="auto" w:line="240" w:before="0" w:after="0"/>
              <w:jc w:val="center"/>
              <w:rPr>
                <w:rFonts w:ascii="Times New Roman" w:hAnsi="Times New Roman" w:cs="Times New Roman"/>
                <w:b/>
                <w:b/>
                <w:bCs/>
                <w:sz w:val="20"/>
                <w:szCs w:val="20"/>
              </w:rPr>
            </w:pPr>
            <w:r>
              <w:rPr>
                <w:rFonts w:eastAsia="Calibri" w:cs="Times New Roman" w:ascii="Times New Roman" w:hAnsi="Times New Roman"/>
                <w:color w:val="FF0000"/>
                <w:kern w:val="0"/>
                <w:sz w:val="20"/>
                <w:szCs w:val="20"/>
                <w:shd w:fill="FFFFFF" w:val="clear"/>
                <w:lang w:val="pt-BR" w:bidi="ar-SA"/>
              </w:rPr>
              <w:t xml:space="preserve">(Aplicável a todas as licenciaturas da UFFS. </w:t>
            </w:r>
          </w:p>
          <w:p>
            <w:pPr>
              <w:pStyle w:val="Normal"/>
              <w:widowControl w:val="false"/>
              <w:suppressAutoHyphens w:val="true"/>
              <w:spacing w:lineRule="auto" w:line="240" w:before="0" w:after="0"/>
              <w:jc w:val="center"/>
              <w:rPr>
                <w:rFonts w:ascii="Times New Roman" w:hAnsi="Times New Roman" w:cs="Times New Roman"/>
                <w:b/>
                <w:b/>
                <w:bCs/>
                <w:sz w:val="20"/>
                <w:szCs w:val="20"/>
              </w:rPr>
            </w:pPr>
            <w:r>
              <w:rPr>
                <w:rFonts w:eastAsia="Calibri" w:cs="Times New Roman" w:ascii="Times New Roman" w:hAnsi="Times New Roman"/>
                <w:color w:val="FF0000"/>
                <w:kern w:val="0"/>
                <w:sz w:val="20"/>
                <w:szCs w:val="20"/>
                <w:shd w:fill="FFFFFF" w:val="clear"/>
                <w:lang w:val="pt-BR" w:bidi="ar-SA"/>
              </w:rPr>
              <w:t>Não se aplica aos bacharelados)</w:t>
            </w:r>
          </w:p>
        </w:tc>
        <w:tc>
          <w:tcPr>
            <w:tcW w:w="4600" w:type="dxa"/>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kern w:val="0"/>
                <w:sz w:val="20"/>
                <w:szCs w:val="20"/>
                <w:lang w:val="pt-BR" w:bidi="ar-SA"/>
              </w:rPr>
              <w:t>O prazo original para atendimento à presente normativa (nos termos do artigo 27 da Resolução CNE/CP nº 2, de 20 de dezembro de 2019, publicada originalmente no DOU em 23/12/2019, p.115), encerrou-se em 23/12/2021. No entanto, por força do Parecer CNE/CP nº 10/2021, a esse prazo foi adicionado mais 01 (um) ano. Assim, o novo prazo encerra-se em 23/12/2022.</w:t>
            </w:r>
          </w:p>
        </w:tc>
      </w:tr>
      <w:tr>
        <w:trPr>
          <w:trHeight w:val="694" w:hRule="atLeast"/>
        </w:trPr>
        <w:tc>
          <w:tcPr>
            <w:tcW w:w="9070" w:type="dxa"/>
            <w:gridSpan w:val="3"/>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Link de acesso:</w:t>
            </w:r>
          </w:p>
          <w:p>
            <w:pPr>
              <w:pStyle w:val="ListParagraph"/>
              <w:widowControl w:val="false"/>
              <w:numPr>
                <w:ilvl w:val="0"/>
                <w:numId w:val="8"/>
              </w:numPr>
              <w:suppressAutoHyphens w:val="true"/>
              <w:spacing w:lineRule="auto" w:line="240" w:before="0" w:after="0"/>
              <w:contextualSpacing/>
              <w:jc w:val="both"/>
              <w:rPr/>
            </w:pPr>
            <w:r>
              <w:rPr>
                <w:rFonts w:eastAsia="Calibri" w:cs="Times New Roman" w:ascii="Times New Roman" w:hAnsi="Times New Roman"/>
                <w:b/>
                <w:bCs/>
                <w:kern w:val="0"/>
                <w:sz w:val="20"/>
                <w:szCs w:val="20"/>
                <w:lang w:val="pt-BR" w:bidi="ar-SA"/>
              </w:rPr>
              <w:t>Resolução CNE/CP nº 2, de 20 de dezembro de 2019</w:t>
            </w:r>
            <w:r>
              <w:rPr>
                <w:rFonts w:eastAsia="Calibri" w:cs="Times New Roman" w:ascii="Times New Roman" w:hAnsi="Times New Roman"/>
                <w:kern w:val="0"/>
                <w:sz w:val="20"/>
                <w:szCs w:val="20"/>
                <w:lang w:val="pt-BR" w:bidi="ar-SA"/>
              </w:rPr>
              <w:t xml:space="preserve"> (</w:t>
            </w:r>
            <w:r>
              <w:rPr>
                <w:rFonts w:eastAsia="Calibri" w:cs="Times New Roman" w:ascii="Times New Roman" w:hAnsi="Times New Roman"/>
                <w:color w:val="FF0000"/>
                <w:kern w:val="0"/>
                <w:sz w:val="20"/>
                <w:szCs w:val="20"/>
                <w:lang w:val="pt-BR" w:bidi="ar-SA"/>
              </w:rPr>
              <w:t>Publicação original no DOU de 23/12/2019</w:t>
            </w:r>
            <w:r>
              <w:rPr>
                <w:rFonts w:eastAsia="Calibri" w:cs="Times New Roman" w:ascii="Times New Roman" w:hAnsi="Times New Roman"/>
                <w:kern w:val="0"/>
                <w:sz w:val="20"/>
                <w:szCs w:val="20"/>
                <w:lang w:val="pt-BR" w:bidi="ar-SA"/>
              </w:rPr>
              <w:t xml:space="preserve">): </w:t>
            </w:r>
            <w:hyperlink r:id="rId11">
              <w:r>
                <w:rPr>
                  <w:rStyle w:val="LinkdaInternet"/>
                  <w:rFonts w:eastAsia="Calibri" w:cs="Times New Roman" w:ascii="Times New Roman" w:hAnsi="Times New Roman"/>
                  <w:kern w:val="0"/>
                  <w:sz w:val="20"/>
                  <w:szCs w:val="20"/>
                  <w:lang w:val="pt-BR" w:bidi="ar-SA"/>
                </w:rPr>
                <w:t>https://pesquisa.in.gov.br/imprensa/jsp/visualiza/index.jsp?data=23/12/2019&amp;jornal=515&amp;pagina=115&amp;totalArquivos=305</w:t>
              </w:r>
            </w:hyperlink>
          </w:p>
          <w:p>
            <w:pPr>
              <w:pStyle w:val="ListParagraph"/>
              <w:widowControl w:val="false"/>
              <w:numPr>
                <w:ilvl w:val="0"/>
                <w:numId w:val="8"/>
              </w:numPr>
              <w:suppressAutoHyphens w:val="true"/>
              <w:spacing w:lineRule="auto" w:line="240" w:before="0" w:after="0"/>
              <w:contextualSpacing/>
              <w:jc w:val="both"/>
              <w:rPr/>
            </w:pPr>
            <w:r>
              <w:rPr>
                <w:rFonts w:eastAsia="Calibri" w:cs="Times New Roman" w:ascii="Times New Roman" w:hAnsi="Times New Roman"/>
                <w:b/>
                <w:bCs/>
                <w:kern w:val="0"/>
                <w:sz w:val="20"/>
                <w:szCs w:val="20"/>
                <w:lang w:val="pt-BR" w:bidi="ar-SA"/>
              </w:rPr>
              <w:t>Resolução CNE/CP nº 2, de 20 de dezembro de 2019</w:t>
            </w:r>
            <w:r>
              <w:rPr>
                <w:rFonts w:eastAsia="Calibri" w:cs="Times New Roman" w:ascii="Times New Roman" w:hAnsi="Times New Roman"/>
                <w:kern w:val="0"/>
                <w:sz w:val="20"/>
                <w:szCs w:val="20"/>
                <w:lang w:val="pt-BR" w:bidi="ar-SA"/>
              </w:rPr>
              <w:t xml:space="preserve"> (</w:t>
            </w:r>
            <w:r>
              <w:rPr>
                <w:rFonts w:eastAsia="Calibri" w:cs="Times New Roman" w:ascii="Times New Roman" w:hAnsi="Times New Roman"/>
                <w:color w:val="FF0000"/>
                <w:kern w:val="0"/>
                <w:sz w:val="20"/>
                <w:szCs w:val="20"/>
                <w:lang w:val="pt-BR" w:bidi="ar-SA"/>
              </w:rPr>
              <w:t xml:space="preserve">Republicada – Publicação no DOU de 10/02/2020) – Obs: </w:t>
            </w:r>
            <w:r>
              <w:rPr>
                <w:rFonts w:eastAsia="Calibri" w:cs="Times New Roman" w:ascii="Times New Roman" w:hAnsi="Times New Roman"/>
                <w:color w:val="162937"/>
                <w:kern w:val="0"/>
                <w:sz w:val="20"/>
                <w:szCs w:val="20"/>
                <w:shd w:fill="FFFFFF" w:val="clear"/>
                <w:lang w:val="pt-BR" w:bidi="ar-SA"/>
              </w:rPr>
              <w:t>Republicada por ter saído com incorreção no DOU de 23/12/2019, Seção 1, páginas 115-119</w:t>
            </w:r>
            <w:r>
              <w:rPr>
                <w:rFonts w:eastAsia="Calibri" w:cs="Times New Roman" w:ascii="Times New Roman" w:hAnsi="Times New Roman"/>
                <w:kern w:val="0"/>
                <w:sz w:val="20"/>
                <w:szCs w:val="20"/>
                <w:lang w:val="pt-BR" w:bidi="ar-SA"/>
              </w:rPr>
              <w:t xml:space="preserve">: </w:t>
            </w:r>
            <w:hyperlink r:id="rId12">
              <w:r>
                <w:rPr>
                  <w:rStyle w:val="LinkdaInternet"/>
                  <w:rFonts w:eastAsia="Calibri" w:cs="Times New Roman" w:ascii="Times New Roman" w:hAnsi="Times New Roman"/>
                  <w:kern w:val="0"/>
                  <w:sz w:val="20"/>
                  <w:szCs w:val="20"/>
                  <w:lang w:val="pt-BR" w:bidi="ar-SA"/>
                </w:rPr>
                <w:t>https://www.in.gov.br/en/web/dou/-/resolucao-n-2-de-20-de-dezembro-de-2019-*-242332819</w:t>
              </w:r>
            </w:hyperlink>
          </w:p>
          <w:p>
            <w:pPr>
              <w:pStyle w:val="ListParagraph"/>
              <w:widowControl w:val="false"/>
              <w:numPr>
                <w:ilvl w:val="0"/>
                <w:numId w:val="8"/>
              </w:numPr>
              <w:suppressAutoHyphens w:val="true"/>
              <w:spacing w:lineRule="auto" w:line="240" w:before="0" w:after="0"/>
              <w:contextualSpacing/>
              <w:jc w:val="both"/>
              <w:rPr>
                <w:rFonts w:ascii="Times New Roman" w:hAnsi="Times New Roman" w:cs="Times New Roman"/>
                <w:sz w:val="20"/>
                <w:szCs w:val="20"/>
              </w:rPr>
            </w:pPr>
            <w:r>
              <w:rPr>
                <w:rFonts w:eastAsia="Calibri" w:cs="Times New Roman" w:ascii="Times New Roman" w:hAnsi="Times New Roman"/>
                <w:b/>
                <w:bCs/>
                <w:kern w:val="0"/>
                <w:sz w:val="20"/>
                <w:szCs w:val="20"/>
                <w:lang w:val="pt-BR" w:bidi="ar-SA"/>
              </w:rPr>
              <w:t>Resolução CNE/CP nº 2, de 20 de dezembro de 2019</w:t>
            </w:r>
            <w:r>
              <w:rPr>
                <w:rFonts w:eastAsia="Calibri" w:cs="Times New Roman" w:ascii="Times New Roman" w:hAnsi="Times New Roman"/>
                <w:kern w:val="0"/>
                <w:sz w:val="20"/>
                <w:szCs w:val="20"/>
                <w:lang w:val="pt-BR" w:bidi="ar-SA"/>
              </w:rPr>
              <w:t xml:space="preserve"> (</w:t>
            </w:r>
            <w:r>
              <w:rPr>
                <w:rFonts w:eastAsia="Calibri" w:cs="Times New Roman" w:ascii="Times New Roman" w:hAnsi="Times New Roman"/>
                <w:color w:val="FF0000"/>
                <w:kern w:val="0"/>
                <w:sz w:val="20"/>
                <w:szCs w:val="20"/>
                <w:lang w:val="pt-BR" w:bidi="ar-SA"/>
              </w:rPr>
              <w:t xml:space="preserve">Republicada – Publicação no DOU de 15/04/2020, p.46) – Obs: </w:t>
            </w:r>
            <w:r>
              <w:rPr>
                <w:rFonts w:eastAsia="Calibri" w:cs="Times New Roman" w:ascii="Times New Roman" w:hAnsi="Times New Roman"/>
                <w:kern w:val="0"/>
                <w:sz w:val="20"/>
                <w:szCs w:val="20"/>
                <w:lang w:val="pt-BR" w:bidi="ar-SA"/>
              </w:rPr>
              <w:t>Republicada por ter saído com incorreção no DOU de 10/02/2020, Seção 1, páginas 87- 90. Incorpora as correções aprovadas na Sessão Extraordinária do Conselho Pleno, realizada no dia 11-3-2020.</w:t>
            </w:r>
          </w:p>
          <w:p>
            <w:pPr>
              <w:pStyle w:val="ListParagraph"/>
              <w:widowControl w:val="false"/>
              <w:suppressAutoHyphens w:val="true"/>
              <w:spacing w:lineRule="auto" w:line="240" w:before="0" w:after="0"/>
              <w:contextualSpacing/>
              <w:jc w:val="both"/>
              <w:rPr/>
            </w:pPr>
            <w:hyperlink r:id="rId13">
              <w:r>
                <w:rPr>
                  <w:rStyle w:val="LinkdaInternet"/>
                  <w:rFonts w:eastAsia="Calibri" w:cs="Times New Roman" w:ascii="Times New Roman" w:hAnsi="Times New Roman"/>
                  <w:kern w:val="0"/>
                  <w:sz w:val="20"/>
                  <w:szCs w:val="20"/>
                  <w:lang w:val="pt-BR" w:bidi="ar-SA"/>
                </w:rPr>
                <w:t>https://pesquisa.in.gov.br/imprensa/jsp/visualiza/index.jsp?data=15/04/2020&amp;jornal=515&amp;pagina=46&amp;totalArquivos=99</w:t>
              </w:r>
            </w:hyperlink>
            <w:r>
              <w:rPr>
                <w:rFonts w:eastAsia="Calibri" w:cs="Times New Roman" w:ascii="Times New Roman" w:hAnsi="Times New Roman"/>
                <w:kern w:val="0"/>
                <w:sz w:val="20"/>
                <w:szCs w:val="20"/>
                <w:lang w:val="pt-BR" w:bidi="ar-SA"/>
              </w:rPr>
              <w:t xml:space="preserve"> </w:t>
            </w:r>
            <w:r>
              <w:rPr>
                <w:rFonts w:eastAsia="Calibri" w:cs="Times New Roman" w:ascii="Times New Roman" w:hAnsi="Times New Roman"/>
                <w:b/>
                <w:bCs/>
                <w:color w:val="FF0000"/>
                <w:kern w:val="0"/>
                <w:sz w:val="20"/>
                <w:szCs w:val="20"/>
                <w:lang w:val="pt-BR" w:bidi="ar-SA"/>
              </w:rPr>
              <w:t>(OBS: Usar sempre esta última edição)</w:t>
            </w:r>
          </w:p>
          <w:p>
            <w:pPr>
              <w:pStyle w:val="ListParagraph"/>
              <w:widowControl w:val="false"/>
              <w:numPr>
                <w:ilvl w:val="0"/>
                <w:numId w:val="8"/>
              </w:numPr>
              <w:suppressAutoHyphens w:val="true"/>
              <w:spacing w:lineRule="auto" w:line="240" w:before="0" w:after="0"/>
              <w:contextualSpacing/>
              <w:jc w:val="both"/>
              <w:rPr/>
            </w:pPr>
            <w:r>
              <w:rPr>
                <w:rFonts w:eastAsia="Calibri" w:cs="Times New Roman" w:ascii="Times New Roman" w:hAnsi="Times New Roman"/>
                <w:b/>
                <w:bCs/>
                <w:kern w:val="0"/>
                <w:sz w:val="20"/>
                <w:szCs w:val="20"/>
                <w:lang w:val="pt-BR" w:bidi="ar-SA"/>
              </w:rPr>
              <w:t>Parecer: CNE/CP 10/2021 (prorrogação de prazo):</w:t>
            </w:r>
            <w:r>
              <w:rPr>
                <w:rFonts w:eastAsia="Calibri" w:cs="Times New Roman" w:ascii="Times New Roman" w:hAnsi="Times New Roman"/>
                <w:kern w:val="0"/>
                <w:sz w:val="20"/>
                <w:szCs w:val="20"/>
                <w:lang w:val="pt-BR" w:bidi="ar-SA"/>
              </w:rPr>
              <w:t xml:space="preserve"> </w:t>
            </w:r>
            <w:hyperlink r:id="rId14">
              <w:r>
                <w:rPr>
                  <w:rStyle w:val="LinkdaInternet"/>
                  <w:rFonts w:eastAsia="Calibri" w:cs="Times New Roman" w:ascii="Times New Roman" w:hAnsi="Times New Roman"/>
                  <w:kern w:val="0"/>
                  <w:sz w:val="20"/>
                  <w:szCs w:val="20"/>
                  <w:lang w:val="pt-BR" w:bidi="ar-SA"/>
                </w:rPr>
                <w:t>https://www.semesp.org.br/wp-content/uploads/2021/08/Despacho-parecer.pdf</w:t>
              </w:r>
            </w:hyperlink>
          </w:p>
        </w:tc>
      </w:tr>
      <w:tr>
        <w:trPr/>
        <w:tc>
          <w:tcPr>
            <w:tcW w:w="9070" w:type="dxa"/>
            <w:gridSpan w:val="3"/>
            <w:tcBorders/>
            <w:shd w:color="auto" w:fill="FFFFFF" w:themeFill="background1" w:val="clear"/>
          </w:tcPr>
          <w:p>
            <w:pPr>
              <w:pStyle w:val="Normal"/>
              <w:widowControl w:val="false"/>
              <w:suppressAutoHyphens w:val="true"/>
              <w:spacing w:lineRule="auto" w:line="240" w:before="0" w:after="0"/>
              <w:jc w:val="both"/>
              <w:rPr/>
            </w:pPr>
            <w:r>
              <w:rPr>
                <w:rFonts w:eastAsia="Calibri" w:cs="Times New Roman" w:ascii="Times New Roman" w:hAnsi="Times New Roman"/>
                <w:b/>
                <w:bCs/>
                <w:kern w:val="0"/>
                <w:sz w:val="20"/>
                <w:szCs w:val="20"/>
                <w:lang w:val="pt-BR" w:bidi="ar-SA"/>
              </w:rPr>
              <w:t xml:space="preserve">Atenção: </w:t>
            </w:r>
            <w:r>
              <w:rPr>
                <w:rFonts w:eastAsia="Calibri" w:cs="Times New Roman" w:ascii="Times New Roman" w:hAnsi="Times New Roman"/>
                <w:color w:val="000000" w:themeColor="text1"/>
                <w:kern w:val="0"/>
                <w:sz w:val="20"/>
                <w:szCs w:val="20"/>
                <w:lang w:val="pt-BR" w:bidi="ar-SA"/>
              </w:rPr>
              <w:t xml:space="preserve">Na UFFS, a política institucional que trata dos cursos de Licenciatura (Formação Inicial e Continuada de Professores da Educação Básica), materializa-se por meio da Resolução nº 2/CONSUNI/CGAE/UFFS/2017, alterada pela Resolução nº 7/CONSUNI/CGAE/UFFS/2018. Em razão da Resolução CNE/CP nº 2, de 20 de dezembro de 2019, a política institucional precisa ser atualizada. No momento, o Fórum das Licenciaturas da UFFS se encontra no preparo da II Conferência das Licenciaturas (2022), espaço de debate e diálogo que preparará recomendações/proposições para alteração da referida política institucional para aprovação nos órgãos colegiados da UFFS. Diante do exposto, é importante que todos os cursos de licenciatura atentem para essa situação antes de promover as reformulações em seus PPCs. Isto é, é recomendável que as licenciaturas aguardem a edição dessa nova política na UFFS para reformularem seus PPCs. Acompanhe os trabalhos do </w:t>
            </w:r>
            <w:r>
              <w:rPr>
                <w:rFonts w:eastAsia="Calibri" w:cs="Times New Roman" w:ascii="Times New Roman" w:hAnsi="Times New Roman"/>
                <w:b/>
                <w:bCs/>
                <w:color w:val="000000" w:themeColor="text1"/>
                <w:kern w:val="0"/>
                <w:sz w:val="20"/>
                <w:szCs w:val="20"/>
                <w:lang w:val="pt-BR" w:bidi="ar-SA"/>
              </w:rPr>
              <w:t>Fórum das Licenciaturas</w:t>
            </w:r>
            <w:r>
              <w:rPr>
                <w:rFonts w:eastAsia="Calibri" w:cs="Times New Roman" w:ascii="Times New Roman" w:hAnsi="Times New Roman"/>
                <w:color w:val="000000" w:themeColor="text1"/>
                <w:kern w:val="0"/>
                <w:sz w:val="20"/>
                <w:szCs w:val="20"/>
                <w:lang w:val="pt-BR" w:bidi="ar-SA"/>
              </w:rPr>
              <w:t xml:space="preserve"> (Apresentação, documentos, comissões, planejamento e relato das reuniões), no link: </w:t>
            </w:r>
            <w:hyperlink r:id="rId15">
              <w:r>
                <w:rPr>
                  <w:rStyle w:val="LinkdaInternet"/>
                  <w:rFonts w:eastAsia="Calibri" w:cs="Times New Roman" w:ascii="Times New Roman" w:hAnsi="Times New Roman"/>
                  <w:kern w:val="0"/>
                  <w:sz w:val="20"/>
                  <w:szCs w:val="20"/>
                  <w:lang w:val="pt-BR" w:bidi="ar-SA"/>
                </w:rPr>
                <w:t>https://www-mgm.uffs.edu.br/institucional/pro-reitorias/graduacao/forum-das-licenciaturas/apresentacao</w:t>
              </w:r>
            </w:hyperlink>
          </w:p>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r>
          </w:p>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 xml:space="preserve">Link de acesso: </w:t>
            </w:r>
          </w:p>
          <w:p>
            <w:pPr>
              <w:pStyle w:val="ListParagraph"/>
              <w:widowControl w:val="false"/>
              <w:numPr>
                <w:ilvl w:val="0"/>
                <w:numId w:val="8"/>
              </w:numPr>
              <w:suppressAutoHyphens w:val="true"/>
              <w:spacing w:lineRule="auto" w:line="240" w:before="0" w:after="0"/>
              <w:contextualSpacing/>
              <w:jc w:val="left"/>
              <w:rPr/>
            </w:pPr>
            <w:r>
              <w:rPr>
                <w:rFonts w:eastAsia="Calibri" w:cs="Times New Roman" w:ascii="Times New Roman" w:hAnsi="Times New Roman"/>
                <w:b/>
                <w:bCs/>
                <w:kern w:val="0"/>
                <w:sz w:val="20"/>
                <w:szCs w:val="20"/>
                <w:lang w:val="pt-BR" w:bidi="ar-SA"/>
              </w:rPr>
              <w:t xml:space="preserve">Resolução nº 2/CONSUNI/CGAE/UFFS/2017: </w:t>
            </w:r>
            <w:hyperlink r:id="rId16">
              <w:r>
                <w:rPr>
                  <w:rStyle w:val="LinkdaInternet"/>
                  <w:rFonts w:eastAsia="Calibri" w:cs="Times New Roman" w:ascii="Times New Roman" w:hAnsi="Times New Roman"/>
                  <w:kern w:val="0"/>
                  <w:sz w:val="20"/>
                  <w:szCs w:val="20"/>
                  <w:lang w:val="pt-BR" w:bidi="ar-SA"/>
                </w:rPr>
                <w:t>https://www.uffs.edu.br/atos-normativos/resolucao/consunicgae/2017-0002</w:t>
              </w:r>
            </w:hyperlink>
            <w:r>
              <w:rPr>
                <w:rFonts w:eastAsia="Calibri" w:cs="Times New Roman" w:ascii="Times New Roman" w:hAnsi="Times New Roman"/>
                <w:kern w:val="0"/>
                <w:sz w:val="20"/>
                <w:szCs w:val="20"/>
                <w:lang w:val="pt-BR" w:bidi="ar-SA"/>
              </w:rPr>
              <w:t xml:space="preserve"> </w:t>
            </w:r>
          </w:p>
          <w:p>
            <w:pPr>
              <w:pStyle w:val="ListParagraph"/>
              <w:widowControl w:val="false"/>
              <w:numPr>
                <w:ilvl w:val="0"/>
                <w:numId w:val="8"/>
              </w:numPr>
              <w:suppressAutoHyphens w:val="true"/>
              <w:spacing w:lineRule="auto" w:line="240" w:before="0" w:after="0"/>
              <w:contextualSpacing/>
              <w:jc w:val="left"/>
              <w:rPr/>
            </w:pPr>
            <w:r>
              <w:rPr>
                <w:rFonts w:eastAsia="Calibri" w:cs="Times New Roman" w:ascii="Times New Roman" w:hAnsi="Times New Roman"/>
                <w:b/>
                <w:bCs/>
                <w:kern w:val="0"/>
                <w:sz w:val="20"/>
                <w:szCs w:val="20"/>
                <w:lang w:val="pt-BR" w:bidi="ar-SA"/>
              </w:rPr>
              <w:t xml:space="preserve">Resolução nº 7/CONSUNI/CGAE/UFFS/2018: </w:t>
            </w:r>
            <w:hyperlink r:id="rId17">
              <w:r>
                <w:rPr>
                  <w:rStyle w:val="LinkdaInternet"/>
                  <w:rFonts w:eastAsia="Calibri" w:cs="Times New Roman" w:ascii="Times New Roman" w:hAnsi="Times New Roman"/>
                  <w:kern w:val="0"/>
                  <w:sz w:val="20"/>
                  <w:szCs w:val="20"/>
                  <w:lang w:val="pt-BR" w:bidi="ar-SA"/>
                </w:rPr>
                <w:t>https://www.uffs.edu.br/atos-normativos/resolucao/consunicgae/2018-0007</w:t>
              </w:r>
            </w:hyperlink>
          </w:p>
        </w:tc>
      </w:tr>
      <w:tr>
        <w:trPr/>
        <w:tc>
          <w:tcPr>
            <w:tcW w:w="4257"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b/>
                <w:bCs/>
                <w:kern w:val="0"/>
                <w:sz w:val="24"/>
                <w:szCs w:val="24"/>
                <w:lang w:val="pt-BR" w:bidi="ar-SA"/>
              </w:rPr>
              <w:t>Normativo</w:t>
            </w:r>
          </w:p>
        </w:tc>
        <w:tc>
          <w:tcPr>
            <w:tcW w:w="4813" w:type="dxa"/>
            <w:gridSpan w:val="2"/>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b/>
                <w:bCs/>
                <w:kern w:val="0"/>
                <w:sz w:val="24"/>
                <w:szCs w:val="24"/>
                <w:lang w:val="pt-BR" w:bidi="ar-SA"/>
              </w:rPr>
              <w:t>Prazo para implantação</w:t>
            </w:r>
          </w:p>
        </w:tc>
      </w:tr>
      <w:tr>
        <w:trPr/>
        <w:tc>
          <w:tcPr>
            <w:tcW w:w="4257" w:type="dxa"/>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 xml:space="preserve">Resolução nº 5, de 14 de outubro de 2021: </w:t>
            </w:r>
            <w:r>
              <w:rPr>
                <w:rFonts w:eastAsia="Calibri" w:cs="Times New Roman" w:ascii="Times New Roman" w:hAnsi="Times New Roman"/>
                <w:color w:val="000000" w:themeColor="text1"/>
                <w:kern w:val="0"/>
                <w:sz w:val="20"/>
                <w:szCs w:val="20"/>
                <w:shd w:fill="FFFFFF" w:val="clear"/>
                <w:lang w:val="pt-BR" w:bidi="ar-SA"/>
              </w:rPr>
              <w:t>Institui as Diretrizes Curriculares Nacionais do Curso de Graduação em Administração.</w:t>
            </w:r>
          </w:p>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cs="Times New Roman" w:ascii="Times New Roman" w:hAnsi="Times New Roman"/>
                <w:b/>
                <w:bCs/>
                <w:sz w:val="20"/>
                <w:szCs w:val="20"/>
              </w:rPr>
            </w:r>
          </w:p>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cs="Times New Roman" w:ascii="Times New Roman" w:hAnsi="Times New Roman"/>
                <w:b/>
                <w:bCs/>
                <w:sz w:val="20"/>
                <w:szCs w:val="20"/>
              </w:rPr>
            </w:r>
          </w:p>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color w:val="FF0000"/>
                <w:kern w:val="0"/>
                <w:sz w:val="20"/>
                <w:szCs w:val="20"/>
                <w:lang w:val="pt-BR" w:bidi="ar-SA"/>
              </w:rPr>
              <w:t>(Específica para o Curso de Administração)</w:t>
            </w:r>
          </w:p>
        </w:tc>
        <w:tc>
          <w:tcPr>
            <w:tcW w:w="4813" w:type="dxa"/>
            <w:gridSpan w:val="2"/>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color w:val="000000" w:themeColor="text1"/>
                <w:kern w:val="0"/>
                <w:sz w:val="20"/>
                <w:szCs w:val="20"/>
                <w:lang w:val="pt-BR" w:bidi="ar-SA"/>
              </w:rPr>
              <w:t>As Diretrizes Curriculares Nacionais do Curso de Administração foram publicadas no DOU em 18/10/2021, Seção 1, p.47. O artigo 14 da referida Resolução determina que “</w:t>
            </w:r>
            <w:r>
              <w:rPr>
                <w:rFonts w:eastAsia="Calibri" w:cs="Times New Roman" w:ascii="Times New Roman" w:hAnsi="Times New Roman"/>
                <w:color w:val="000000" w:themeColor="text1"/>
                <w:kern w:val="0"/>
                <w:sz w:val="20"/>
                <w:szCs w:val="20"/>
                <w:shd w:fill="FFFFFF" w:val="clear"/>
                <w:lang w:val="pt-BR" w:bidi="ar-SA"/>
              </w:rPr>
              <w:t>Os cursos de Administração em funcionamento têm o prazo de 3 (três) anos a partir da data de publicação desta Resolução para implementação das presentes diretrizes”, isto é, 18/10/2024.</w:t>
            </w:r>
          </w:p>
        </w:tc>
      </w:tr>
      <w:tr>
        <w:trPr>
          <w:trHeight w:val="826" w:hRule="atLeast"/>
        </w:trPr>
        <w:tc>
          <w:tcPr>
            <w:tcW w:w="9070" w:type="dxa"/>
            <w:gridSpan w:val="3"/>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Link de acesso:</w:t>
            </w:r>
          </w:p>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 xml:space="preserve">Resolução nº 5, de 14 de outubro de 2021: </w:t>
            </w:r>
          </w:p>
          <w:p>
            <w:pPr>
              <w:pStyle w:val="Normal"/>
              <w:widowControl w:val="false"/>
              <w:suppressAutoHyphens w:val="true"/>
              <w:spacing w:lineRule="auto" w:line="240" w:before="0" w:after="0"/>
              <w:jc w:val="both"/>
              <w:rPr/>
            </w:pPr>
            <w:hyperlink r:id="rId18">
              <w:r>
                <w:rPr>
                  <w:rStyle w:val="LinkdaInternet"/>
                  <w:rFonts w:eastAsia="Calibri" w:cs="Times New Roman" w:ascii="Times New Roman" w:hAnsi="Times New Roman"/>
                  <w:kern w:val="0"/>
                  <w:sz w:val="20"/>
                  <w:szCs w:val="20"/>
                  <w:lang w:val="pt-BR" w:bidi="ar-SA"/>
                </w:rPr>
                <w:t>https://in.gov.br/web/dou/-/resolucao-n-5-de-14-de-outubro-de-2021-352697939</w:t>
              </w:r>
            </w:hyperlink>
            <w:r>
              <w:rPr>
                <w:rFonts w:eastAsia="Calibri" w:cs="Times New Roman" w:ascii="Times New Roman" w:hAnsi="Times New Roman"/>
                <w:color w:val="FF0000"/>
                <w:kern w:val="0"/>
                <w:sz w:val="20"/>
                <w:szCs w:val="20"/>
                <w:lang w:val="pt-BR" w:bidi="ar-SA"/>
              </w:rPr>
              <w:t xml:space="preserve"> </w:t>
            </w:r>
          </w:p>
        </w:tc>
      </w:tr>
      <w:tr>
        <w:trPr/>
        <w:tc>
          <w:tcPr>
            <w:tcW w:w="4257"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b/>
                <w:bCs/>
                <w:kern w:val="0"/>
                <w:sz w:val="24"/>
                <w:szCs w:val="24"/>
                <w:lang w:val="pt-BR" w:bidi="ar-SA"/>
              </w:rPr>
              <w:t>Normativo</w:t>
            </w:r>
          </w:p>
        </w:tc>
        <w:tc>
          <w:tcPr>
            <w:tcW w:w="4813" w:type="dxa"/>
            <w:gridSpan w:val="2"/>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b/>
                <w:bCs/>
                <w:kern w:val="0"/>
                <w:sz w:val="24"/>
                <w:szCs w:val="24"/>
                <w:lang w:val="pt-BR" w:bidi="ar-SA"/>
              </w:rPr>
              <w:t>Prazo para implantação</w:t>
            </w:r>
          </w:p>
        </w:tc>
      </w:tr>
      <w:tr>
        <w:trPr/>
        <w:tc>
          <w:tcPr>
            <w:tcW w:w="4257" w:type="dxa"/>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color w:val="162937"/>
                <w:sz w:val="20"/>
                <w:szCs w:val="20"/>
                <w:highlight w:val="white"/>
              </w:rPr>
            </w:pPr>
            <w:r>
              <w:rPr>
                <w:rFonts w:eastAsia="Calibri" w:cs="Times New Roman" w:ascii="Times New Roman" w:hAnsi="Times New Roman"/>
                <w:b/>
                <w:bCs/>
                <w:kern w:val="0"/>
                <w:sz w:val="20"/>
                <w:szCs w:val="20"/>
                <w:lang w:val="pt-BR" w:bidi="ar-SA"/>
              </w:rPr>
              <w:t>Resolução nº 1, de 26 de março de 2021:</w:t>
            </w:r>
            <w:r>
              <w:rPr>
                <w:rFonts w:eastAsia="Calibri" w:cs="Times New Roman" w:ascii="Times New Roman" w:hAnsi="Times New Roman"/>
                <w:color w:val="162937"/>
                <w:kern w:val="0"/>
                <w:sz w:val="20"/>
                <w:szCs w:val="20"/>
                <w:shd w:fill="FFFFFF" w:val="clear"/>
                <w:lang w:val="pt-BR" w:bidi="ar-SA"/>
              </w:rPr>
              <w:t xml:space="preserve"> </w:t>
            </w:r>
            <w:r>
              <w:rPr>
                <w:rFonts w:eastAsia="Calibri" w:cs="Times New Roman" w:ascii="Times New Roman" w:hAnsi="Times New Roman"/>
                <w:color w:val="000000" w:themeColor="text1"/>
                <w:kern w:val="0"/>
                <w:sz w:val="20"/>
                <w:szCs w:val="20"/>
                <w:shd w:fill="FFFFFF" w:val="clear"/>
                <w:lang w:val="pt-BR" w:bidi="ar-SA"/>
              </w:rPr>
              <w:t>Altera o Art. 9°, § 1º da Resolução CNE/CES 2/2019 e o Art. 6°, § 1º da Resolução CNE/CES 2/2010, que institui as Diretrizes Curriculares Nacionais dos Cursos de Graduação de Engenharia, Arquitetura e Urbanismo.</w:t>
            </w:r>
          </w:p>
          <w:p>
            <w:pPr>
              <w:pStyle w:val="Normal"/>
              <w:widowControl w:val="false"/>
              <w:suppressAutoHyphens w:val="true"/>
              <w:spacing w:lineRule="auto" w:line="240" w:before="0" w:after="0"/>
              <w:jc w:val="both"/>
              <w:rPr>
                <w:rFonts w:ascii="Times New Roman" w:hAnsi="Times New Roman" w:cs="Times New Roman"/>
                <w:color w:val="162937"/>
                <w:sz w:val="20"/>
                <w:szCs w:val="20"/>
                <w:highlight w:val="white"/>
              </w:rPr>
            </w:pPr>
            <w:r>
              <w:rPr>
                <w:rFonts w:cs="Times New Roman" w:ascii="Times New Roman" w:hAnsi="Times New Roman"/>
                <w:color w:val="162937"/>
                <w:sz w:val="20"/>
                <w:szCs w:val="20"/>
                <w:highlight w:val="white"/>
              </w:rPr>
            </w:r>
          </w:p>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color w:val="FF0000"/>
                <w:kern w:val="0"/>
                <w:sz w:val="20"/>
                <w:szCs w:val="20"/>
                <w:lang w:val="pt-BR" w:bidi="ar-SA"/>
              </w:rPr>
              <w:t>(Específica para os Cursos de Arquitetura e Urbanismo e Engenharias)</w:t>
            </w:r>
          </w:p>
        </w:tc>
        <w:tc>
          <w:tcPr>
            <w:tcW w:w="4813" w:type="dxa"/>
            <w:gridSpan w:val="2"/>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sz w:val="20"/>
                <w:szCs w:val="20"/>
              </w:rPr>
            </w:pPr>
            <w:r>
              <w:rPr>
                <w:rFonts w:eastAsia="Calibri" w:cs="Times New Roman" w:ascii="Times New Roman" w:hAnsi="Times New Roman"/>
                <w:color w:val="000000" w:themeColor="text1"/>
                <w:kern w:val="0"/>
                <w:sz w:val="20"/>
                <w:szCs w:val="20"/>
                <w:lang w:val="pt-BR" w:bidi="ar-SA"/>
              </w:rPr>
              <w:t>O artigo 3º da Resolução nº 1, de 26 de março de 2021 expressa que a mesma entra em vigor na data de sua publicação. A referida Resolução foi publicada no DOU em 29/03/2021, Seção 1, pág. 85. Não há definição expressa no referido ordenamento para as adaptações dos PPCs à mesma. Assim, entendemos que o prazo para adaptação dos PPCs é 29/03/2021. Evidentemente, essa atualização deve, obrigatoriamente, ser implementada nos PPCs de Arquitetura e Engenharias, até próximo ato regulatório do curso.</w:t>
            </w:r>
          </w:p>
        </w:tc>
      </w:tr>
      <w:tr>
        <w:trPr>
          <w:trHeight w:val="798" w:hRule="atLeast"/>
        </w:trPr>
        <w:tc>
          <w:tcPr>
            <w:tcW w:w="9070" w:type="dxa"/>
            <w:gridSpan w:val="3"/>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Link de acesso:</w:t>
            </w:r>
          </w:p>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 xml:space="preserve">Resolução nº 5, de 14 de outubro de 2021: </w:t>
            </w:r>
          </w:p>
          <w:p>
            <w:pPr>
              <w:pStyle w:val="Normal"/>
              <w:widowControl w:val="false"/>
              <w:suppressAutoHyphens w:val="true"/>
              <w:spacing w:lineRule="auto" w:line="240" w:before="0" w:after="0"/>
              <w:jc w:val="both"/>
              <w:rPr/>
            </w:pPr>
            <w:hyperlink r:id="rId19">
              <w:r>
                <w:rPr>
                  <w:rStyle w:val="LinkdaInternet"/>
                  <w:rFonts w:eastAsia="Calibri" w:cs="Times New Roman" w:ascii="Times New Roman" w:hAnsi="Times New Roman"/>
                  <w:color w:val="FF0000"/>
                  <w:kern w:val="0"/>
                  <w:sz w:val="20"/>
                  <w:szCs w:val="20"/>
                  <w:lang w:val="pt-BR" w:bidi="ar-SA"/>
                </w:rPr>
                <w:t>https://www.in.gov.br/en/web/dou/-/resolucao-n-1-de-26-de-marco-de-2021-310886981</w:t>
              </w:r>
            </w:hyperlink>
            <w:r>
              <w:rPr>
                <w:rFonts w:eastAsia="Calibri" w:cs="Times New Roman" w:ascii="Times New Roman" w:hAnsi="Times New Roman"/>
                <w:color w:val="FF0000"/>
                <w:kern w:val="0"/>
                <w:sz w:val="20"/>
                <w:szCs w:val="20"/>
                <w:lang w:val="pt-BR" w:bidi="ar-SA"/>
              </w:rPr>
              <w:t xml:space="preserve"> </w:t>
            </w:r>
          </w:p>
        </w:tc>
      </w:tr>
      <w:tr>
        <w:trPr/>
        <w:tc>
          <w:tcPr>
            <w:tcW w:w="4257"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b/>
                <w:b/>
                <w:bCs/>
                <w:sz w:val="24"/>
                <w:szCs w:val="24"/>
              </w:rPr>
            </w:pPr>
            <w:r>
              <w:rPr>
                <w:rFonts w:eastAsia="Calibri" w:cs="Times New Roman" w:ascii="Times New Roman" w:hAnsi="Times New Roman"/>
                <w:b/>
                <w:bCs/>
                <w:kern w:val="0"/>
                <w:sz w:val="24"/>
                <w:szCs w:val="24"/>
                <w:lang w:val="pt-BR" w:bidi="ar-SA"/>
              </w:rPr>
              <w:t>Normativo</w:t>
            </w:r>
          </w:p>
        </w:tc>
        <w:tc>
          <w:tcPr>
            <w:tcW w:w="4813" w:type="dxa"/>
            <w:gridSpan w:val="2"/>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b/>
                <w:b/>
                <w:bCs/>
                <w:sz w:val="24"/>
                <w:szCs w:val="24"/>
              </w:rPr>
            </w:pPr>
            <w:r>
              <w:rPr>
                <w:rFonts w:eastAsia="Calibri" w:cs="Times New Roman" w:ascii="Times New Roman" w:hAnsi="Times New Roman"/>
                <w:b/>
                <w:bCs/>
                <w:kern w:val="0"/>
                <w:sz w:val="24"/>
                <w:szCs w:val="24"/>
                <w:lang w:val="pt-BR" w:bidi="ar-SA"/>
              </w:rPr>
              <w:t>Prazo para implantação</w:t>
            </w:r>
          </w:p>
        </w:tc>
      </w:tr>
      <w:tr>
        <w:trPr/>
        <w:tc>
          <w:tcPr>
            <w:tcW w:w="4257" w:type="dxa"/>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Resolução CNE/CES nº 2, de 24 de abril de 2019:</w:t>
            </w:r>
            <w:r>
              <w:rPr>
                <w:rFonts w:eastAsia="Calibri" w:cs="Times New Roman" w:ascii="Times New Roman" w:hAnsi="Times New Roman"/>
                <w:kern w:val="0"/>
                <w:sz w:val="20"/>
                <w:szCs w:val="20"/>
                <w:lang w:val="pt-BR" w:bidi="ar-SA"/>
              </w:rPr>
              <w:t xml:space="preserve"> </w:t>
            </w:r>
            <w:r>
              <w:rPr>
                <w:rFonts w:eastAsia="Calibri" w:cs="Times New Roman" w:ascii="Times New Roman" w:hAnsi="Times New Roman"/>
                <w:color w:val="000000" w:themeColor="text1"/>
                <w:kern w:val="0"/>
                <w:sz w:val="20"/>
                <w:szCs w:val="20"/>
                <w:lang w:val="pt-BR" w:bidi="ar-SA"/>
              </w:rPr>
              <w:t>Diretrizes Curriculares Nacionais do Curso de Graduação em Engenharia.</w:t>
            </w:r>
          </w:p>
        </w:tc>
        <w:tc>
          <w:tcPr>
            <w:tcW w:w="4813" w:type="dxa"/>
            <w:gridSpan w:val="2"/>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b/>
                <w:b/>
                <w:bCs/>
                <w:sz w:val="24"/>
                <w:szCs w:val="24"/>
              </w:rPr>
            </w:pPr>
            <w:r>
              <w:rPr>
                <w:rFonts w:eastAsia="Calibri" w:cs="Times New Roman" w:ascii="Times New Roman" w:hAnsi="Times New Roman"/>
                <w:color w:val="000000" w:themeColor="text1"/>
                <w:kern w:val="0"/>
                <w:sz w:val="20"/>
                <w:szCs w:val="20"/>
                <w:lang w:val="pt-BR" w:bidi="ar-SA"/>
              </w:rPr>
              <w:t xml:space="preserve">O artigo 16 da Resolução CNE/CES nº 2, de 24 de abril de 2019 expressa que a mesma entra em vigor na data de sua publicação: “Art. 16. Os cursos de Engenharia em funcionamento têm o prazo de 3 (três) anos a partir da data de publicação desta Resolução para implementação destas Diretrizes Nacionais do Curso de Graduação em Engenharia.” A referida Resolução foi publicada no DOU em 26/04/2019 (Seção 1, pág 43 e 44). Assim, o prazo para sua implantação seria 26/04/2022. No entanto, por força do Parecer CNE/CP nº 10/2021, a esse prazo foi adicionado mais 01 (um) ano. Assim, o novo prazo encerra-se em 26/04/2023. </w:t>
            </w:r>
          </w:p>
        </w:tc>
      </w:tr>
      <w:tr>
        <w:trPr/>
        <w:tc>
          <w:tcPr>
            <w:tcW w:w="9070" w:type="dxa"/>
            <w:gridSpan w:val="3"/>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 xml:space="preserve">Link de acesso: </w:t>
            </w:r>
          </w:p>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Resolução CNE/CES nº 2, de 24 de abril de 2019</w:t>
            </w:r>
          </w:p>
          <w:p>
            <w:pPr>
              <w:pStyle w:val="Normal"/>
              <w:widowControl w:val="false"/>
              <w:suppressAutoHyphens w:val="true"/>
              <w:spacing w:lineRule="auto" w:line="240" w:before="0" w:after="0"/>
              <w:jc w:val="both"/>
              <w:rPr/>
            </w:pPr>
            <w:hyperlink r:id="rId20">
              <w:r>
                <w:rPr>
                  <w:rStyle w:val="LinkdaInternet"/>
                  <w:rFonts w:eastAsia="Calibri" w:cs="Times New Roman" w:ascii="Times New Roman" w:hAnsi="Times New Roman"/>
                  <w:kern w:val="0"/>
                  <w:sz w:val="20"/>
                  <w:szCs w:val="20"/>
                  <w:lang w:val="pt-BR" w:bidi="ar-SA"/>
                </w:rPr>
                <w:t>https://www.in.gov.br/web/dou/-/resolu%C3%87%C3%83o-n%C2%BA-2-de-24-de-abril-de-2019-85344528</w:t>
              </w:r>
            </w:hyperlink>
          </w:p>
        </w:tc>
      </w:tr>
      <w:tr>
        <w:trPr/>
        <w:tc>
          <w:tcPr>
            <w:tcW w:w="4257" w:type="dxa"/>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b/>
                <w:bCs/>
                <w:kern w:val="0"/>
                <w:sz w:val="24"/>
                <w:szCs w:val="24"/>
                <w:lang w:val="pt-BR" w:bidi="ar-SA"/>
              </w:rPr>
              <w:t>Normativo</w:t>
            </w:r>
          </w:p>
        </w:tc>
        <w:tc>
          <w:tcPr>
            <w:tcW w:w="4813" w:type="dxa"/>
            <w:gridSpan w:val="2"/>
            <w:tcBorders/>
            <w:shd w:color="auto" w:fill="D9D9D9" w:themeFill="background1" w:themeFillShade="d9"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b/>
                <w:bCs/>
                <w:kern w:val="0"/>
                <w:sz w:val="24"/>
                <w:szCs w:val="24"/>
                <w:lang w:val="pt-BR" w:bidi="ar-SA"/>
              </w:rPr>
              <w:t>Prazo para implantação</w:t>
            </w:r>
          </w:p>
        </w:tc>
      </w:tr>
      <w:tr>
        <w:trPr/>
        <w:tc>
          <w:tcPr>
            <w:tcW w:w="4257" w:type="dxa"/>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highlight w:val="white"/>
              </w:rPr>
            </w:pPr>
            <w:r>
              <w:rPr>
                <w:rFonts w:eastAsia="Calibri" w:cs="Times New Roman" w:ascii="Times New Roman" w:hAnsi="Times New Roman"/>
                <w:b/>
                <w:bCs/>
                <w:kern w:val="0"/>
                <w:sz w:val="20"/>
                <w:szCs w:val="20"/>
                <w:lang w:val="pt-BR" w:bidi="ar-SA"/>
              </w:rPr>
              <w:t>Resolução nº 3, de 15 de agosto de 2019</w:t>
            </w:r>
            <w:r>
              <w:rPr>
                <w:rFonts w:eastAsia="Calibri" w:cs="Times New Roman" w:ascii="Times New Roman" w:hAnsi="Times New Roman"/>
                <w:kern w:val="0"/>
                <w:sz w:val="20"/>
                <w:szCs w:val="20"/>
                <w:lang w:val="pt-BR" w:bidi="ar-SA"/>
              </w:rPr>
              <w:t>:</w:t>
            </w:r>
            <w:r>
              <w:rPr>
                <w:rFonts w:eastAsia="Calibri" w:cs="Times New Roman" w:ascii="Times New Roman" w:hAnsi="Times New Roman"/>
                <w:color w:val="162937"/>
                <w:kern w:val="0"/>
                <w:sz w:val="20"/>
                <w:szCs w:val="20"/>
                <w:shd w:fill="FFFFFF" w:val="clear"/>
                <w:lang w:val="pt-BR" w:bidi="ar-SA"/>
              </w:rPr>
              <w:t xml:space="preserve"> </w:t>
            </w:r>
            <w:r>
              <w:rPr>
                <w:rFonts w:eastAsia="Calibri" w:cs="Times New Roman" w:ascii="Times New Roman" w:hAnsi="Times New Roman"/>
                <w:color w:val="000000" w:themeColor="text1"/>
                <w:kern w:val="0"/>
                <w:sz w:val="20"/>
                <w:szCs w:val="20"/>
                <w:shd w:fill="FFFFFF" w:val="clear"/>
                <w:lang w:val="pt-BR" w:bidi="ar-SA"/>
              </w:rPr>
              <w:t>Institui as Diretrizes Curriculares Nacionais do Curso de Graduação em Medicina Veterinária e dá outras providências.</w:t>
            </w:r>
          </w:p>
          <w:p>
            <w:pPr>
              <w:pStyle w:val="Normal"/>
              <w:widowControl w:val="false"/>
              <w:suppressAutoHyphens w:val="true"/>
              <w:spacing w:lineRule="auto" w:line="240" w:before="0" w:after="0"/>
              <w:jc w:val="both"/>
              <w:rPr>
                <w:rFonts w:ascii="Times New Roman" w:hAnsi="Times New Roman" w:cs="Times New Roman"/>
                <w:color w:val="162937"/>
                <w:sz w:val="20"/>
                <w:szCs w:val="20"/>
                <w:highlight w:val="white"/>
              </w:rPr>
            </w:pPr>
            <w:r>
              <w:rPr>
                <w:rFonts w:cs="Times New Roman" w:ascii="Times New Roman" w:hAnsi="Times New Roman"/>
                <w:color w:val="162937"/>
                <w:sz w:val="20"/>
                <w:szCs w:val="20"/>
                <w:highlight w:val="white"/>
              </w:rPr>
            </w:r>
          </w:p>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color w:val="FF0000"/>
                <w:kern w:val="0"/>
                <w:sz w:val="20"/>
                <w:szCs w:val="20"/>
                <w:lang w:val="pt-BR" w:bidi="ar-SA"/>
              </w:rPr>
              <w:t>(Específica para o Curso de Medicina Veterinária)</w:t>
            </w:r>
          </w:p>
        </w:tc>
        <w:tc>
          <w:tcPr>
            <w:tcW w:w="4813" w:type="dxa"/>
            <w:gridSpan w:val="2"/>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O artigo 21 da Resolução nº 3, de 15 de agosto de 2019 expressa que “o</w:t>
            </w:r>
            <w:r>
              <w:rPr>
                <w:rFonts w:eastAsia="Calibri" w:cs="Times New Roman" w:ascii="Times New Roman" w:hAnsi="Times New Roman"/>
                <w:color w:val="000000" w:themeColor="text1"/>
                <w:kern w:val="0"/>
                <w:sz w:val="20"/>
                <w:szCs w:val="20"/>
                <w:shd w:fill="FFFFFF" w:val="clear"/>
                <w:lang w:val="pt-BR" w:bidi="ar-SA"/>
              </w:rPr>
              <w:t xml:space="preserve">s Cursos de Medicina Veterinária em funcionamento terão o prazo de 2 (dois) anos, a partir da data de publicação desta Resolução, para aplicação de suas determinações [...].” </w:t>
            </w:r>
            <w:r>
              <w:rPr>
                <w:rFonts w:eastAsia="Calibri" w:cs="Times New Roman" w:ascii="Times New Roman" w:hAnsi="Times New Roman"/>
                <w:color w:val="000000" w:themeColor="text1"/>
                <w:kern w:val="0"/>
                <w:sz w:val="20"/>
                <w:szCs w:val="20"/>
                <w:lang w:val="pt-BR" w:bidi="ar-SA"/>
              </w:rPr>
              <w:t>A referida Resolução foi publicada no DOU em 16/08/2019 (Seção 1, pág. 199). Assim, o prazo para adaptação dos PPCs seria 16/08/2021. No entanto, por força do Parecer CNE/CP nº 10/2021, a esse prazo foi adicionado mais 01 (um) ano. Assim, o novo prazo encerra-se em 16/08/2022.</w:t>
            </w:r>
          </w:p>
        </w:tc>
      </w:tr>
      <w:tr>
        <w:trPr>
          <w:trHeight w:val="823" w:hRule="atLeast"/>
        </w:trPr>
        <w:tc>
          <w:tcPr>
            <w:tcW w:w="9070" w:type="dxa"/>
            <w:gridSpan w:val="3"/>
            <w:tcBorders/>
            <w:shd w:color="auto" w:fill="FFFFFF" w:themeFill="background1"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kern w:val="0"/>
                <w:sz w:val="20"/>
                <w:szCs w:val="20"/>
                <w:lang w:val="pt-BR" w:bidi="ar-SA"/>
              </w:rPr>
              <w:t>Link de acesso:</w:t>
            </w:r>
          </w:p>
          <w:p>
            <w:pPr>
              <w:pStyle w:val="Normal"/>
              <w:widowControl w:val="false"/>
              <w:suppressAutoHyphens w:val="true"/>
              <w:spacing w:lineRule="auto" w:line="240" w:before="0" w:after="0"/>
              <w:jc w:val="both"/>
              <w:rPr/>
            </w:pPr>
            <w:r>
              <w:rPr>
                <w:rFonts w:eastAsia="Calibri" w:cs="Times New Roman" w:ascii="Times New Roman" w:hAnsi="Times New Roman"/>
                <w:b/>
                <w:bCs/>
                <w:kern w:val="0"/>
                <w:sz w:val="20"/>
                <w:szCs w:val="20"/>
                <w:lang w:val="pt-BR" w:bidi="ar-SA"/>
              </w:rPr>
              <w:t>Resolução nº 3, de 15 de agosto de 2019</w:t>
            </w:r>
            <w:r>
              <w:rPr>
                <w:rFonts w:eastAsia="Calibri" w:cs="Times New Roman" w:ascii="Times New Roman" w:hAnsi="Times New Roman"/>
                <w:kern w:val="0"/>
                <w:sz w:val="20"/>
                <w:szCs w:val="20"/>
                <w:lang w:val="pt-BR" w:bidi="ar-SA"/>
              </w:rPr>
              <w:t>:</w:t>
            </w:r>
            <w:r>
              <w:rPr>
                <w:rFonts w:eastAsia="Calibri" w:cs="Times New Roman" w:ascii="Times New Roman" w:hAnsi="Times New Roman"/>
                <w:color w:val="162937"/>
                <w:kern w:val="0"/>
                <w:sz w:val="20"/>
                <w:szCs w:val="20"/>
                <w:shd w:fill="FFFFFF" w:val="clear"/>
                <w:lang w:val="pt-BR" w:bidi="ar-SA"/>
              </w:rPr>
              <w:t xml:space="preserve"> </w:t>
            </w:r>
            <w:hyperlink r:id="rId21">
              <w:r>
                <w:rPr>
                  <w:rStyle w:val="LinkdaInternet"/>
                  <w:rFonts w:eastAsia="Calibri" w:cs="Times New Roman" w:ascii="Times New Roman" w:hAnsi="Times New Roman"/>
                  <w:kern w:val="0"/>
                  <w:sz w:val="20"/>
                  <w:szCs w:val="20"/>
                  <w:lang w:val="pt-BR" w:bidi="ar-SA"/>
                </w:rPr>
                <w:t>https://www.in.gov.br/web/dou/-/resolucao-n-3-de-15-de-agosto-de-2019-210946881</w:t>
              </w:r>
            </w:hyperlink>
          </w:p>
        </w:tc>
      </w:tr>
    </w:tbl>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sz w:val="24"/>
          <w:szCs w:val="24"/>
        </w:rPr>
        <w:t xml:space="preserve">Diante do cenário exposto anteriormente, podemos afirmar que a aprovação da Resolução nº 93/CONSUNI/UFFS/2021 (Diretrizes da Inserção das Atividades da Extensão no Currículo), </w:t>
      </w:r>
      <w:r>
        <w:rPr>
          <w:rFonts w:cs="Times New Roman" w:ascii="Times New Roman" w:hAnsi="Times New Roman"/>
          <w:b/>
          <w:bCs/>
          <w:sz w:val="24"/>
          <w:szCs w:val="24"/>
        </w:rPr>
        <w:t>permite que os cursos de graduação da UFFS já possam dar início ao processo de reformulação de seus PPCs</w:t>
      </w:r>
      <w:r>
        <w:rPr>
          <w:rFonts w:cs="Times New Roman" w:ascii="Times New Roman" w:hAnsi="Times New Roman"/>
          <w:sz w:val="24"/>
          <w:szCs w:val="24"/>
        </w:rPr>
        <w:t>. Na prática, esse processo se inicia a partir de 31/03/2022, com a constituição dos GTs/Comissões de cada curso.</w:t>
      </w:r>
    </w:p>
    <w:p>
      <w:pPr>
        <w:pStyle w:val="Normal"/>
        <w:spacing w:lineRule="auto" w:line="240" w:before="0" w:after="0"/>
        <w:ind w:firstLine="708"/>
        <w:jc w:val="both"/>
        <w:rPr/>
      </w:pPr>
      <w:r>
        <w:rPr>
          <w:rFonts w:cs="Times New Roman" w:ascii="Times New Roman" w:hAnsi="Times New Roman"/>
          <w:sz w:val="24"/>
          <w:szCs w:val="24"/>
        </w:rPr>
        <w:t xml:space="preserve">Cabe salientar que esse processo de discussão deve ser ampliado para além da extensão, devendo envolver, no caso de cursos com novas DCNs, as discussões/adaptações a estas, as reflexões pertinentes à evasão, retenção, nº de matrículas, carga-horária, duração, matriz OCC/Andifes, indicadores de qualidade, políticas de inovação, etc. Ainda, recomendamos que o processo de reformulação dos PPCs parta de um profundo debate reflexivo que leve em consideração o contexto no qual se insere a Universidade, a sociedade e os anseios e desejos dos estudantes, docentes e técnicos-administrativos.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Nesse sentido, houve a tentativa, na elaboração do novo roteiro do PPCs, da inserção de elementos/evidências que induzam os GTs a promoverem essas reflexões porque, para além da importante reflexão pedagógica/metodológica em direção à qualidade, é fundamental que todos os cursos olhem para si e para o horizonte que vislumbram, sempre conectados à missão emancipadora da UFFS e de seu compromisso social. Esse é o momento de todos os cursos olharem para o futuro e refletirem profundamente como participarão dele.</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Diante do exposto, tendo em vista os prazos legais determinados pelo CNE (em vigência) e os prazos necessários para a tramitação dos processos nas instâncias da UFFS, o cronograma proposto para a reformulação dos PPCs é o seguinte:</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r>
    </w:p>
    <w:tbl>
      <w:tblPr>
        <w:tblW w:w="9071"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49" w:type="dxa"/>
          <w:bottom w:w="55" w:type="dxa"/>
          <w:right w:w="55" w:type="dxa"/>
        </w:tblCellMar>
        <w:tblLook w:firstRow="1" w:noVBand="1" w:lastRow="0" w:firstColumn="1" w:lastColumn="0" w:noHBand="0" w:val="04a0"/>
      </w:tblPr>
      <w:tblGrid>
        <w:gridCol w:w="2890"/>
        <w:gridCol w:w="2206"/>
        <w:gridCol w:w="2587"/>
        <w:gridCol w:w="1387"/>
      </w:tblGrid>
      <w:tr>
        <w:trPr>
          <w:tblHeader w:val="true"/>
        </w:trPr>
        <w:tc>
          <w:tcPr>
            <w:tcW w:w="2890" w:type="dxa"/>
            <w:tcBorders>
              <w:top w:val="single" w:sz="2" w:space="0" w:color="000000"/>
              <w:left w:val="single" w:sz="2" w:space="0" w:color="000000"/>
              <w:bottom w:val="single" w:sz="2" w:space="0" w:color="000000"/>
              <w:insideH w:val="single" w:sz="2" w:space="0" w:color="000000"/>
            </w:tcBorders>
            <w:shd w:color="auto" w:fill="CCCCCC" w:val="clear"/>
            <w:vAlign w:val="center"/>
          </w:tcPr>
          <w:p>
            <w:pPr>
              <w:pStyle w:val="Contedodatabela"/>
              <w:widowControl w:val="false"/>
              <w:spacing w:lineRule="auto" w:line="240" w:before="0" w:after="0"/>
              <w:jc w:val="center"/>
              <w:rPr>
                <w:rFonts w:ascii="Times New Roman" w:hAnsi="Times New Roman"/>
                <w:b/>
                <w:b/>
                <w:bCs/>
                <w:sz w:val="20"/>
                <w:szCs w:val="20"/>
              </w:rPr>
            </w:pPr>
            <w:r>
              <w:rPr>
                <w:rFonts w:ascii="Times New Roman" w:hAnsi="Times New Roman"/>
                <w:b/>
                <w:bCs/>
                <w:sz w:val="20"/>
                <w:szCs w:val="20"/>
              </w:rPr>
              <w:t>Ação/atividade</w:t>
            </w:r>
          </w:p>
        </w:tc>
        <w:tc>
          <w:tcPr>
            <w:tcW w:w="2206" w:type="dxa"/>
            <w:tcBorders>
              <w:top w:val="single" w:sz="2" w:space="0" w:color="000000"/>
              <w:left w:val="single" w:sz="2" w:space="0" w:color="000000"/>
              <w:bottom w:val="single" w:sz="2" w:space="0" w:color="000000"/>
              <w:insideH w:val="single" w:sz="2" w:space="0" w:color="000000"/>
            </w:tcBorders>
            <w:shd w:color="auto" w:fill="CCCCCC" w:val="clear"/>
            <w:vAlign w:val="center"/>
          </w:tcPr>
          <w:p>
            <w:pPr>
              <w:pStyle w:val="Contedodatabela"/>
              <w:widowControl w:val="false"/>
              <w:spacing w:before="0" w:after="0"/>
              <w:jc w:val="center"/>
              <w:rPr>
                <w:rFonts w:ascii="Times New Roman" w:hAnsi="Times New Roman"/>
                <w:b/>
                <w:b/>
                <w:bCs/>
                <w:sz w:val="20"/>
                <w:szCs w:val="20"/>
              </w:rPr>
            </w:pPr>
            <w:r>
              <w:rPr>
                <w:rFonts w:ascii="Times New Roman" w:hAnsi="Times New Roman"/>
                <w:b/>
                <w:bCs/>
                <w:sz w:val="20"/>
                <w:szCs w:val="20"/>
              </w:rPr>
              <w:t>Instâncias envolvidas</w:t>
            </w:r>
          </w:p>
        </w:tc>
        <w:tc>
          <w:tcPr>
            <w:tcW w:w="2587" w:type="dxa"/>
            <w:tcBorders>
              <w:top w:val="single" w:sz="2" w:space="0" w:color="000000"/>
              <w:left w:val="single" w:sz="2" w:space="0" w:color="000000"/>
              <w:bottom w:val="single" w:sz="2" w:space="0" w:color="000000"/>
              <w:insideH w:val="single" w:sz="2" w:space="0" w:color="000000"/>
            </w:tcBorders>
            <w:shd w:color="auto" w:fill="CCCCCC" w:val="clear"/>
            <w:vAlign w:val="center"/>
          </w:tcPr>
          <w:p>
            <w:pPr>
              <w:pStyle w:val="Contedodatabela"/>
              <w:widowControl w:val="false"/>
              <w:spacing w:before="0" w:after="0"/>
              <w:jc w:val="center"/>
              <w:rPr>
                <w:rFonts w:ascii="Times New Roman" w:hAnsi="Times New Roman"/>
                <w:b/>
                <w:b/>
                <w:bCs/>
                <w:sz w:val="20"/>
                <w:szCs w:val="20"/>
              </w:rPr>
            </w:pPr>
            <w:r>
              <w:rPr>
                <w:rFonts w:ascii="Times New Roman" w:hAnsi="Times New Roman"/>
                <w:b/>
                <w:bCs/>
                <w:sz w:val="20"/>
                <w:szCs w:val="20"/>
              </w:rPr>
              <w:t>Procedimentos</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color="auto" w:fill="CCCCCC" w:val="clear"/>
            <w:vAlign w:val="center"/>
          </w:tcPr>
          <w:p>
            <w:pPr>
              <w:pStyle w:val="Contedodatabela"/>
              <w:widowControl w:val="false"/>
              <w:spacing w:before="0" w:after="0"/>
              <w:jc w:val="center"/>
              <w:rPr>
                <w:rFonts w:ascii="Times New Roman" w:hAnsi="Times New Roman"/>
                <w:b/>
                <w:b/>
                <w:bCs/>
                <w:sz w:val="20"/>
                <w:szCs w:val="20"/>
              </w:rPr>
            </w:pPr>
            <w:r>
              <w:rPr>
                <w:rFonts w:ascii="Times New Roman" w:hAnsi="Times New Roman"/>
                <w:b/>
                <w:bCs/>
                <w:sz w:val="20"/>
                <w:szCs w:val="20"/>
              </w:rPr>
              <w:t>Datas</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jc w:val="both"/>
              <w:rPr>
                <w:rFonts w:ascii="Times New Roman" w:hAnsi="Times New Roman"/>
                <w:sz w:val="20"/>
                <w:szCs w:val="20"/>
              </w:rPr>
            </w:pPr>
            <w:r>
              <w:rPr>
                <w:rFonts w:ascii="Times New Roman" w:hAnsi="Times New Roman"/>
                <w:sz w:val="20"/>
                <w:szCs w:val="20"/>
              </w:rPr>
              <w:t>Definição dos Gts ou NDEs para reformulação dos PPCs</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jc w:val="both"/>
              <w:rPr>
                <w:rFonts w:ascii="Times New Roman" w:hAnsi="Times New Roman"/>
                <w:sz w:val="20"/>
                <w:szCs w:val="20"/>
              </w:rPr>
            </w:pPr>
            <w:r>
              <w:rPr>
                <w:rFonts w:ascii="Times New Roman" w:hAnsi="Times New Roman"/>
                <w:sz w:val="20"/>
                <w:szCs w:val="20"/>
              </w:rPr>
              <w:t>NDEs e colegiados de cursos</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jc w:val="both"/>
              <w:rPr>
                <w:rFonts w:ascii="Times New Roman" w:hAnsi="Times New Roman"/>
                <w:sz w:val="20"/>
                <w:szCs w:val="20"/>
              </w:rPr>
            </w:pPr>
            <w:r>
              <w:rPr>
                <w:rFonts w:ascii="Times New Roman" w:hAnsi="Times New Roman"/>
                <w:sz w:val="20"/>
                <w:szCs w:val="20"/>
              </w:rPr>
              <w:t>Envio da nominata para o e-mail da DOP/PROGRAD</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jc w:val="both"/>
              <w:rPr>
                <w:rFonts w:ascii="Times New Roman" w:hAnsi="Times New Roman"/>
                <w:sz w:val="20"/>
                <w:szCs w:val="20"/>
              </w:rPr>
            </w:pPr>
            <w:r>
              <w:rPr>
                <w:rFonts w:ascii="Times New Roman" w:hAnsi="Times New Roman"/>
                <w:sz w:val="20"/>
                <w:szCs w:val="20"/>
              </w:rPr>
              <w:t>31/03/2022</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Módulo 1 de formação</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PROEC, GTs, Colegiados e NDEs</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04/04/2022 (manhã)</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Módulo 2 de formação</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PROPLAN, GTs, Colegiados e NDEs</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12/04/2022 (tarde)</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Diálogos com os NAPs</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DOP e NAPs</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18 a 22/04/2022</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Módulo 3 de formação</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PI, GTs, Colegiados e NDEs</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04/05/2022 (tarde)</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Módulo 4 de formação</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GTs, Colegiados e NDEs, com a participação do  COGRAD/ANDIFES</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12/05/2022 (manhã)</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Módulo 5 de formação</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GTs, Colegiados e NDEs</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19/05/2022 (tarde)</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Módulo 6 de formação</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GTs, Colegiados e NDEs</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24/05/2022 (manhã)</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Rodada de diálogos por campi</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e GTs, Colegiados e NDEs do campus Cerro Largo</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31/05/2022</w:t>
            </w:r>
          </w:p>
          <w:p>
            <w:pPr>
              <w:pStyle w:val="Contedodatabela"/>
              <w:widowControl w:val="false"/>
              <w:spacing w:before="0" w:after="0"/>
              <w:rPr>
                <w:rFonts w:ascii="Times New Roman" w:hAnsi="Times New Roman"/>
                <w:sz w:val="20"/>
                <w:szCs w:val="20"/>
              </w:rPr>
            </w:pPr>
            <w:r>
              <w:rPr>
                <w:rFonts w:ascii="Times New Roman" w:hAnsi="Times New Roman"/>
                <w:sz w:val="20"/>
                <w:szCs w:val="20"/>
              </w:rPr>
              <w:t>(manhã)</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Rodada de diálogos por campi</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e GTs, Colegiados e NDEs do campus Chapecó</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híbrida (presencial e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01/06/2022</w:t>
            </w:r>
          </w:p>
          <w:p>
            <w:pPr>
              <w:pStyle w:val="Contedodatabela"/>
              <w:widowControl w:val="false"/>
              <w:spacing w:before="0" w:after="0"/>
              <w:rPr>
                <w:rFonts w:ascii="Times New Roman" w:hAnsi="Times New Roman"/>
                <w:sz w:val="20"/>
                <w:szCs w:val="20"/>
              </w:rPr>
            </w:pPr>
            <w:r>
              <w:rPr>
                <w:rFonts w:ascii="Times New Roman" w:hAnsi="Times New Roman"/>
                <w:sz w:val="20"/>
                <w:szCs w:val="20"/>
              </w:rPr>
              <w:t>(manhã)</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Rodada de diálogos por campi</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e GTs, Colegiados e NDEs do campus Erechim</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02/06/2022</w:t>
            </w:r>
          </w:p>
          <w:p>
            <w:pPr>
              <w:pStyle w:val="Contedodatabela"/>
              <w:widowControl w:val="false"/>
              <w:spacing w:before="0" w:after="0"/>
              <w:rPr>
                <w:rFonts w:ascii="Times New Roman" w:hAnsi="Times New Roman"/>
                <w:sz w:val="20"/>
                <w:szCs w:val="20"/>
              </w:rPr>
            </w:pPr>
            <w:r>
              <w:rPr>
                <w:rFonts w:ascii="Times New Roman" w:hAnsi="Times New Roman"/>
                <w:sz w:val="20"/>
                <w:szCs w:val="20"/>
              </w:rPr>
              <w:t>(manhã)</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Rodada de diálogos por campi</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e GTs, Colegiados e NDEs do campus Laranjeiras do Sul</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07/06/2022</w:t>
            </w:r>
          </w:p>
          <w:p>
            <w:pPr>
              <w:pStyle w:val="Contedodatabela"/>
              <w:widowControl w:val="false"/>
              <w:spacing w:before="0" w:after="0"/>
              <w:rPr>
                <w:rFonts w:ascii="Times New Roman" w:hAnsi="Times New Roman"/>
                <w:sz w:val="20"/>
                <w:szCs w:val="20"/>
              </w:rPr>
            </w:pPr>
            <w:r>
              <w:rPr>
                <w:rFonts w:ascii="Times New Roman" w:hAnsi="Times New Roman"/>
                <w:sz w:val="20"/>
                <w:szCs w:val="20"/>
              </w:rPr>
              <w:t>(tarde)</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Rodada de diálogos por campi</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e GTs, Colegiados e NDEs do campus Passo Fundo</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08/06/2022</w:t>
            </w:r>
          </w:p>
          <w:p>
            <w:pPr>
              <w:pStyle w:val="Contedodatabela"/>
              <w:widowControl w:val="false"/>
              <w:spacing w:before="0" w:after="0"/>
              <w:rPr>
                <w:rFonts w:ascii="Times New Roman" w:hAnsi="Times New Roman"/>
                <w:sz w:val="20"/>
                <w:szCs w:val="20"/>
              </w:rPr>
            </w:pPr>
            <w:r>
              <w:rPr>
                <w:rFonts w:ascii="Times New Roman" w:hAnsi="Times New Roman"/>
                <w:sz w:val="20"/>
                <w:szCs w:val="20"/>
              </w:rPr>
              <w:t>(manhã)</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Rodada de diálogos por campi</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e GTs, Colegiados e NDEs do campus Realeza</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09/06/2022</w:t>
            </w:r>
          </w:p>
          <w:p>
            <w:pPr>
              <w:pStyle w:val="Contedodatabela"/>
              <w:widowControl w:val="false"/>
              <w:spacing w:before="0" w:after="0"/>
              <w:rPr>
                <w:rFonts w:ascii="Times New Roman" w:hAnsi="Times New Roman"/>
                <w:sz w:val="20"/>
                <w:szCs w:val="20"/>
              </w:rPr>
            </w:pPr>
            <w:r>
              <w:rPr>
                <w:rFonts w:ascii="Times New Roman" w:hAnsi="Times New Roman"/>
                <w:sz w:val="20"/>
                <w:szCs w:val="20"/>
              </w:rPr>
              <w:t>(manhã)</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Roda de diálogo institucional</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e GTs, Colegiados e NDEs de todos campi</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Desenvolvido de forma online, via Webex</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15/06/2022</w:t>
            </w:r>
          </w:p>
          <w:p>
            <w:pPr>
              <w:pStyle w:val="Contedodatabela"/>
              <w:widowControl w:val="false"/>
              <w:spacing w:before="0" w:after="0"/>
              <w:rPr>
                <w:rFonts w:ascii="Times New Roman" w:hAnsi="Times New Roman"/>
                <w:sz w:val="20"/>
                <w:szCs w:val="20"/>
              </w:rPr>
            </w:pPr>
            <w:r>
              <w:rPr>
                <w:rFonts w:ascii="Times New Roman" w:hAnsi="Times New Roman"/>
                <w:sz w:val="20"/>
                <w:szCs w:val="20"/>
              </w:rPr>
              <w:t>(manhã)</w:t>
            </w:r>
          </w:p>
          <w:p>
            <w:pPr>
              <w:pStyle w:val="Contedodatabela"/>
              <w:widowControl w:val="false"/>
              <w:spacing w:before="0" w:after="0"/>
              <w:rPr>
                <w:rFonts w:ascii="Times New Roman" w:hAnsi="Times New Roman"/>
                <w:sz w:val="20"/>
                <w:szCs w:val="20"/>
              </w:rPr>
            </w:pPr>
            <w:r>
              <w:rPr>
                <w:rFonts w:ascii="Times New Roman" w:hAnsi="Times New Roman"/>
                <w:sz w:val="20"/>
                <w:szCs w:val="20"/>
              </w:rPr>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jc w:val="both"/>
              <w:rPr>
                <w:rFonts w:ascii="Times New Roman" w:hAnsi="Times New Roman"/>
                <w:sz w:val="20"/>
                <w:szCs w:val="20"/>
              </w:rPr>
            </w:pPr>
            <w:r>
              <w:rPr>
                <w:rFonts w:ascii="Times New Roman" w:hAnsi="Times New Roman"/>
                <w:sz w:val="20"/>
                <w:szCs w:val="20"/>
              </w:rPr>
              <w:t xml:space="preserve">Formulário de apresentação de justificativa – impossibilidade de cumprimento de cronograma para reformulação do PPC de curso </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NDEs/GTs e Colegiados de curso</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Envio do processo com o formulário para a fila de trabalh</w:t>
            </w:r>
            <w:r>
              <w:rPr>
                <w:rFonts w:ascii="Times New Roman" w:hAnsi="Times New Roman"/>
                <w:color w:val="000000"/>
                <w:sz w:val="20"/>
                <w:szCs w:val="20"/>
              </w:rPr>
              <w:t>o da</w:t>
            </w:r>
            <w:r>
              <w:rPr>
                <w:rFonts w:ascii="Times New Roman" w:hAnsi="Times New Roman"/>
                <w:sz w:val="20"/>
                <w:szCs w:val="20"/>
              </w:rPr>
              <w:t xml:space="preserve"> DOP</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20/06/2022</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jc w:val="both"/>
              <w:rPr>
                <w:rFonts w:ascii="Times New Roman" w:hAnsi="Times New Roman"/>
                <w:sz w:val="20"/>
                <w:szCs w:val="20"/>
              </w:rPr>
            </w:pPr>
            <w:r>
              <w:rPr>
                <w:rFonts w:ascii="Times New Roman" w:hAnsi="Times New Roman"/>
                <w:sz w:val="20"/>
                <w:szCs w:val="20"/>
              </w:rPr>
              <w:t>Envio das propostas de reformulação de PPCs para análise no segundo semestre de 2022</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NDEs/GTs e Colegiados de curso, Coordenações Acadêmicas</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jc w:val="both"/>
              <w:rPr>
                <w:rFonts w:ascii="Times New Roman" w:hAnsi="Times New Roman"/>
                <w:sz w:val="20"/>
                <w:szCs w:val="20"/>
              </w:rPr>
            </w:pPr>
            <w:r>
              <w:rPr>
                <w:rFonts w:ascii="Times New Roman" w:hAnsi="Times New Roman"/>
                <w:sz w:val="20"/>
                <w:szCs w:val="20"/>
              </w:rPr>
              <w:t xml:space="preserve">Após trâmite e a análise nas instâncias competentes do </w:t>
            </w:r>
            <w:r>
              <w:rPr>
                <w:rFonts w:ascii="Times New Roman" w:hAnsi="Times New Roman"/>
                <w:i/>
                <w:iCs/>
                <w:sz w:val="20"/>
                <w:szCs w:val="20"/>
              </w:rPr>
              <w:t>campus</w:t>
            </w:r>
            <w:r>
              <w:rPr>
                <w:rFonts w:ascii="Times New Roman" w:hAnsi="Times New Roman"/>
                <w:sz w:val="20"/>
                <w:szCs w:val="20"/>
              </w:rPr>
              <w:t>, a Coordenação Acadêmica encaminha o PPC à DOP, por mensagem eletrônica contendo: ofício, solicitando a avaliação e a recomendação do novo PPC; um parecer com a análise realizada; e o texto da proposta de PPC a ser avaliada, em formato editável (.odt). Procedimentos operacionais: cadastro de ofício e parecer no SIPAC, envio de e-mail</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b/>
                <w:b/>
                <w:bCs/>
                <w:sz w:val="20"/>
                <w:szCs w:val="20"/>
              </w:rPr>
            </w:pPr>
            <w:r>
              <w:rPr>
                <w:rFonts w:ascii="Times New Roman" w:hAnsi="Times New Roman"/>
                <w:b/>
                <w:bCs/>
                <w:sz w:val="20"/>
                <w:szCs w:val="20"/>
              </w:rPr>
              <w:t>18/07/2022</w:t>
            </w:r>
          </w:p>
          <w:p>
            <w:pPr>
              <w:pStyle w:val="Contedodatabela"/>
              <w:widowControl w:val="false"/>
              <w:spacing w:before="0" w:after="0"/>
              <w:rPr>
                <w:rFonts w:ascii="Times New Roman" w:hAnsi="Times New Roman"/>
                <w:b/>
                <w:b/>
                <w:bCs/>
                <w:sz w:val="20"/>
                <w:szCs w:val="20"/>
              </w:rPr>
            </w:pPr>
            <w:r>
              <w:rPr>
                <w:rFonts w:ascii="Times New Roman" w:hAnsi="Times New Roman"/>
                <w:b/>
                <w:bCs/>
                <w:sz w:val="20"/>
                <w:szCs w:val="20"/>
              </w:rPr>
              <w:t>(data limite)</w:t>
            </w:r>
          </w:p>
        </w:tc>
      </w:tr>
      <w:tr>
        <w:trPr/>
        <w:tc>
          <w:tcPr>
            <w:tcW w:w="2890"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lineRule="auto" w:line="240" w:before="0" w:after="0"/>
              <w:rPr>
                <w:rFonts w:ascii="Times New Roman" w:hAnsi="Times New Roman"/>
                <w:sz w:val="20"/>
                <w:szCs w:val="20"/>
              </w:rPr>
            </w:pPr>
            <w:r>
              <w:rPr>
                <w:rFonts w:ascii="Times New Roman" w:hAnsi="Times New Roman"/>
                <w:sz w:val="20"/>
                <w:szCs w:val="20"/>
              </w:rPr>
              <w:t>Tramitação das propostas nas instâncias da UFFS</w:t>
            </w:r>
          </w:p>
        </w:tc>
        <w:tc>
          <w:tcPr>
            <w:tcW w:w="2206"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PROGRAD, colegiados de curso e CGAE</w:t>
            </w:r>
          </w:p>
        </w:tc>
        <w:tc>
          <w:tcPr>
            <w:tcW w:w="2587"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widowControl w:val="false"/>
              <w:spacing w:before="0" w:after="0"/>
              <w:rPr>
                <w:rFonts w:ascii="Times New Roman" w:hAnsi="Times New Roman"/>
                <w:sz w:val="20"/>
                <w:szCs w:val="20"/>
              </w:rPr>
            </w:pPr>
            <w:r>
              <w:rPr>
                <w:rFonts w:ascii="Times New Roman" w:hAnsi="Times New Roman"/>
                <w:sz w:val="20"/>
                <w:szCs w:val="20"/>
              </w:rPr>
              <w:t>Análise e deliberação das propostas de reformulação</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widowControl w:val="false"/>
              <w:spacing w:before="0" w:after="0"/>
              <w:rPr>
                <w:rFonts w:ascii="Times New Roman" w:hAnsi="Times New Roman"/>
                <w:b/>
                <w:b/>
                <w:bCs/>
                <w:sz w:val="20"/>
                <w:szCs w:val="20"/>
              </w:rPr>
            </w:pPr>
            <w:r>
              <w:rPr>
                <w:rFonts w:ascii="Times New Roman" w:hAnsi="Times New Roman"/>
                <w:b/>
                <w:bCs/>
                <w:sz w:val="20"/>
                <w:szCs w:val="20"/>
              </w:rPr>
              <w:t>19/07/2022 a 19/12/2022</w:t>
            </w:r>
          </w:p>
        </w:tc>
      </w:tr>
    </w:tbl>
    <w:p>
      <w:pPr>
        <w:pStyle w:val="Normal"/>
        <w:spacing w:before="0" w:after="0"/>
        <w:jc w:val="center"/>
        <w:rPr>
          <w:rFonts w:ascii="Times New Roman" w:hAnsi="Times New Roman" w:eastAsia="Arial" w:cs="Arial"/>
          <w:b/>
          <w:b/>
          <w:sz w:val="24"/>
          <w:szCs w:val="24"/>
          <w:highlight w:val="white"/>
        </w:rPr>
      </w:pPr>
      <w:r>
        <w:rPr>
          <w:rFonts w:eastAsia="Arial" w:cs="Arial" w:ascii="Times New Roman" w:hAnsi="Times New Roman"/>
          <w:b/>
          <w:sz w:val="24"/>
          <w:szCs w:val="24"/>
          <w:highlight w:val="white"/>
        </w:rPr>
      </w:r>
    </w:p>
    <w:p>
      <w:pPr>
        <w:pStyle w:val="Normal"/>
        <w:spacing w:before="0" w:after="0"/>
        <w:jc w:val="center"/>
        <w:rPr>
          <w:rFonts w:ascii="Times New Roman" w:hAnsi="Times New Roman" w:eastAsia="Arial" w:cs="Arial"/>
          <w:b/>
          <w:b/>
          <w:sz w:val="24"/>
          <w:szCs w:val="24"/>
          <w:highlight w:val="white"/>
        </w:rPr>
      </w:pPr>
      <w:r>
        <w:rPr>
          <w:rFonts w:eastAsia="Arial" w:cs="Arial" w:ascii="Times New Roman" w:hAnsi="Times New Roman"/>
          <w:b/>
          <w:sz w:val="24"/>
          <w:szCs w:val="24"/>
          <w:shd w:fill="FFFFFF" w:val="clear"/>
        </w:rPr>
        <w:t xml:space="preserve">Cronograma padrão para o fluxo de avaliação de PPCs </w:t>
      </w:r>
    </w:p>
    <w:p>
      <w:pPr>
        <w:pStyle w:val="Normal"/>
        <w:spacing w:before="0" w:after="0"/>
        <w:jc w:val="center"/>
        <w:rPr>
          <w:rFonts w:ascii="Times New Roman" w:hAnsi="Times New Roman" w:eastAsia="Arial" w:cs="Arial"/>
          <w:b/>
          <w:b/>
          <w:sz w:val="24"/>
          <w:szCs w:val="24"/>
          <w:highlight w:val="white"/>
        </w:rPr>
      </w:pPr>
      <w:r>
        <w:rPr>
          <w:rFonts w:eastAsia="Arial" w:cs="Arial" w:ascii="Times New Roman" w:hAnsi="Times New Roman"/>
          <w:b/>
          <w:sz w:val="24"/>
          <w:szCs w:val="24"/>
          <w:shd w:fill="FFFFFF" w:val="clear"/>
        </w:rPr>
        <w:t>(RESOLUÇÃO Nº 10/CONSUNI CGAE/UFFS/2017)</w:t>
      </w:r>
    </w:p>
    <w:p>
      <w:pPr>
        <w:pStyle w:val="Normal"/>
        <w:spacing w:before="0" w:after="0"/>
        <w:jc w:val="center"/>
        <w:rPr>
          <w:rFonts w:ascii="Times New Roman" w:hAnsi="Times New Roman" w:eastAsia="Arial" w:cs="Arial"/>
          <w:b/>
          <w:b/>
          <w:sz w:val="24"/>
          <w:szCs w:val="24"/>
          <w:highlight w:val="white"/>
        </w:rPr>
      </w:pPr>
      <w:r>
        <w:rPr>
          <w:rFonts w:eastAsia="Arial" w:cs="Arial" w:ascii="Times New Roman" w:hAnsi="Times New Roman"/>
          <w:b/>
          <w:sz w:val="24"/>
          <w:szCs w:val="24"/>
          <w:highlight w:val="white"/>
        </w:rPr>
      </w:r>
    </w:p>
    <w:tbl>
      <w:tblPr>
        <w:tblW w:w="9071" w:type="dxa"/>
        <w:jc w:val="left"/>
        <w:tblInd w:w="-5" w:type="dxa"/>
        <w:tblBorders>
          <w:top w:val="single" w:sz="4" w:space="0" w:color="000000"/>
          <w:left w:val="single" w:sz="4" w:space="0" w:color="000000"/>
          <w:bottom w:val="single" w:sz="4" w:space="0" w:color="000000"/>
          <w:insideH w:val="single" w:sz="4" w:space="0" w:color="000000"/>
        </w:tblBorders>
        <w:tblCellMar>
          <w:top w:w="57" w:type="dxa"/>
          <w:left w:w="52" w:type="dxa"/>
          <w:bottom w:w="57" w:type="dxa"/>
          <w:right w:w="57" w:type="dxa"/>
        </w:tblCellMar>
        <w:tblLook w:firstRow="1" w:noVBand="1" w:lastRow="0" w:firstColumn="1" w:lastColumn="0" w:noHBand="0" w:val="04a0"/>
      </w:tblPr>
      <w:tblGrid>
        <w:gridCol w:w="564"/>
        <w:gridCol w:w="1757"/>
        <w:gridCol w:w="5617"/>
        <w:gridCol w:w="1132"/>
      </w:tblGrid>
      <w:tr>
        <w:trPr>
          <w:tblHeader w:val="true"/>
        </w:trPr>
        <w:tc>
          <w:tcPr>
            <w:tcW w:w="564" w:type="dxa"/>
            <w:tcBorders>
              <w:top w:val="single" w:sz="4" w:space="0" w:color="000000"/>
              <w:left w:val="single" w:sz="4" w:space="0" w:color="000000"/>
              <w:bottom w:val="single" w:sz="4" w:space="0" w:color="000000"/>
              <w:insideH w:val="single" w:sz="4" w:space="0" w:color="000000"/>
            </w:tcBorders>
            <w:shd w:color="auto" w:fill="C0C0C0" w:val="clear"/>
            <w:vAlign w:val="center"/>
          </w:tcPr>
          <w:p>
            <w:pPr>
              <w:pStyle w:val="Normal"/>
              <w:widowControl w:val="false"/>
              <w:spacing w:lineRule="auto" w:line="240" w:before="0" w:after="0"/>
              <w:jc w:val="both"/>
              <w:rPr>
                <w:rFonts w:ascii="Times New Roman" w:hAnsi="Times New Roman" w:eastAsia="Arial" w:cs="Arial"/>
                <w:b/>
                <w:b/>
                <w:color w:val="000000"/>
                <w:sz w:val="16"/>
                <w:szCs w:val="16"/>
              </w:rPr>
            </w:pPr>
            <w:r>
              <w:rPr>
                <w:rFonts w:eastAsia="Arial" w:cs="Arial" w:ascii="Times New Roman" w:hAnsi="Times New Roman"/>
                <w:b/>
                <w:color w:val="000000"/>
                <w:sz w:val="16"/>
                <w:szCs w:val="16"/>
              </w:rPr>
              <w:t>Passo</w:t>
            </w:r>
          </w:p>
        </w:tc>
        <w:tc>
          <w:tcPr>
            <w:tcW w:w="1757" w:type="dxa"/>
            <w:tcBorders>
              <w:top w:val="single" w:sz="4" w:space="0" w:color="000000"/>
              <w:left w:val="single" w:sz="4" w:space="0" w:color="000000"/>
              <w:bottom w:val="single" w:sz="4" w:space="0" w:color="000000"/>
              <w:insideH w:val="single" w:sz="4" w:space="0" w:color="000000"/>
            </w:tcBorders>
            <w:shd w:color="auto" w:fill="C0C0C0" w:val="clear"/>
            <w:vAlign w:val="center"/>
          </w:tcPr>
          <w:p>
            <w:pPr>
              <w:pStyle w:val="Normal"/>
              <w:widowControl w:val="false"/>
              <w:spacing w:lineRule="auto" w:line="240" w:before="0" w:after="0"/>
              <w:rPr>
                <w:rFonts w:ascii="Times New Roman" w:hAnsi="Times New Roman" w:eastAsia="Arial" w:cs="Arial"/>
                <w:b/>
                <w:b/>
                <w:color w:val="000000"/>
                <w:sz w:val="18"/>
                <w:szCs w:val="18"/>
              </w:rPr>
            </w:pPr>
            <w:r>
              <w:rPr>
                <w:rFonts w:eastAsia="Arial" w:cs="Arial" w:ascii="Times New Roman" w:hAnsi="Times New Roman"/>
                <w:b/>
                <w:color w:val="000000"/>
                <w:sz w:val="18"/>
                <w:szCs w:val="18"/>
              </w:rPr>
              <w:t>Setor responsável</w:t>
            </w:r>
          </w:p>
        </w:tc>
        <w:tc>
          <w:tcPr>
            <w:tcW w:w="5617" w:type="dxa"/>
            <w:tcBorders>
              <w:top w:val="single" w:sz="4" w:space="0" w:color="000000"/>
              <w:left w:val="single" w:sz="4" w:space="0" w:color="000000"/>
              <w:bottom w:val="single" w:sz="4" w:space="0" w:color="000000"/>
              <w:insideH w:val="single" w:sz="4" w:space="0" w:color="000000"/>
            </w:tcBorders>
            <w:shd w:color="auto" w:fill="C0C0C0" w:val="clear"/>
            <w:vAlign w:val="center"/>
          </w:tcPr>
          <w:p>
            <w:pPr>
              <w:pStyle w:val="Normal"/>
              <w:widowControl w:val="false"/>
              <w:spacing w:lineRule="auto" w:line="240" w:before="0" w:after="0"/>
              <w:jc w:val="both"/>
              <w:rPr>
                <w:rFonts w:ascii="Times New Roman" w:hAnsi="Times New Roman" w:eastAsia="Arial" w:cs="Arial"/>
                <w:b/>
                <w:b/>
                <w:color w:val="000000"/>
                <w:sz w:val="18"/>
                <w:szCs w:val="18"/>
              </w:rPr>
            </w:pPr>
            <w:r>
              <w:rPr>
                <w:rFonts w:eastAsia="Arial" w:cs="Arial" w:ascii="Times New Roman" w:hAnsi="Times New Roman"/>
                <w:b/>
                <w:color w:val="000000"/>
                <w:sz w:val="18"/>
                <w:szCs w:val="18"/>
              </w:rPr>
              <w:t>Procedimento</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vAlign w:val="center"/>
          </w:tcPr>
          <w:p>
            <w:pPr>
              <w:pStyle w:val="Normal"/>
              <w:widowControl w:val="false"/>
              <w:spacing w:lineRule="auto" w:line="240" w:before="0" w:after="0"/>
              <w:jc w:val="both"/>
              <w:rPr>
                <w:rFonts w:ascii="Times New Roman" w:hAnsi="Times New Roman" w:eastAsia="Arial" w:cs="Arial"/>
                <w:b/>
                <w:b/>
                <w:color w:val="000000"/>
                <w:sz w:val="18"/>
                <w:szCs w:val="18"/>
              </w:rPr>
            </w:pPr>
            <w:r>
              <w:rPr>
                <w:rFonts w:eastAsia="Arial" w:cs="Arial" w:ascii="Times New Roman" w:hAnsi="Times New Roman"/>
                <w:b/>
                <w:color w:val="000000"/>
                <w:sz w:val="18"/>
                <w:szCs w:val="18"/>
              </w:rPr>
              <w:t>Prazos</w:t>
            </w:r>
          </w:p>
        </w:tc>
      </w:tr>
      <w:tr>
        <w:trPr>
          <w:trHeight w:val="876" w:hRule="atLeast"/>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1</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NÚCLEO DOCENTE ESTRUTURANTE - NDE DE CURSO DE GRADUAÇÃO</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sz w:val="18"/>
                <w:szCs w:val="18"/>
              </w:rPr>
            </w:pPr>
            <w:r>
              <w:rPr>
                <w:rFonts w:eastAsia="Arial" w:cs="Arial" w:ascii="Times New Roman" w:hAnsi="Times New Roman"/>
                <w:color w:val="000000"/>
                <w:sz w:val="18"/>
                <w:szCs w:val="18"/>
              </w:rPr>
              <w:t>Coordenar o processo de criação e/ou reformulação do Projeto Pedagógico do Curso – PPC.</w:t>
            </w:r>
          </w:p>
          <w:p>
            <w:pPr>
              <w:pStyle w:val="Normal"/>
              <w:widowControl w:val="false"/>
              <w:spacing w:lineRule="auto" w:line="240" w:before="0" w:after="0"/>
              <w:jc w:val="both"/>
              <w:rPr>
                <w:rFonts w:ascii="Times New Roman" w:hAnsi="Times New Roman"/>
                <w:sz w:val="18"/>
                <w:szCs w:val="18"/>
              </w:rPr>
            </w:pPr>
            <w:r>
              <w:rPr>
                <w:rFonts w:eastAsia="Arial" w:cs="Arial" w:ascii="Times New Roman" w:hAnsi="Times New Roman"/>
                <w:i/>
                <w:color w:val="000000"/>
                <w:sz w:val="18"/>
                <w:szCs w:val="18"/>
              </w:rPr>
              <w:t>Procedimentos: reuniões de trabalho.</w:t>
            </w:r>
          </w:p>
          <w:p>
            <w:pPr>
              <w:pStyle w:val="Normal"/>
              <w:widowControl w:val="false"/>
              <w:spacing w:lineRule="auto" w:line="240" w:before="0" w:after="0"/>
              <w:jc w:val="both"/>
              <w:rPr>
                <w:rFonts w:ascii="Times New Roman" w:hAnsi="Times New Roman"/>
                <w:sz w:val="18"/>
                <w:szCs w:val="18"/>
              </w:rPr>
            </w:pPr>
            <w:r>
              <w:rPr>
                <w:rFonts w:eastAsia="Arial" w:cs="Arial" w:ascii="Times New Roman" w:hAnsi="Times New Roman"/>
                <w:i/>
                <w:color w:val="000000"/>
                <w:sz w:val="18"/>
                <w:szCs w:val="18"/>
              </w:rPr>
              <w:t>Com assessoria do NAP e da DOP.</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150" w:after="150"/>
              <w:jc w:val="both"/>
              <w:rPr>
                <w:rFonts w:ascii="Times New Roman" w:hAnsi="Times New Roman"/>
                <w:sz w:val="18"/>
                <w:szCs w:val="18"/>
              </w:rPr>
            </w:pPr>
            <w:r>
              <w:rPr>
                <w:rFonts w:ascii="Times New Roman" w:hAnsi="Times New Roman"/>
                <w:sz w:val="18"/>
                <w:szCs w:val="18"/>
              </w:rPr>
              <w:t>A critério do NDE</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2</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COLEGIADO DE CURSO DE GRADUAÇÃO</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Responsável pela elaboração e deliberação/aprovação sobre propostas de criação e/ou reformulação do PPC.</w:t>
            </w:r>
          </w:p>
          <w:p>
            <w:pPr>
              <w:pStyle w:val="Normal"/>
              <w:widowControl w:val="false"/>
              <w:spacing w:lineRule="auto" w:line="240" w:before="0" w:after="0"/>
              <w:jc w:val="both"/>
              <w:rPr>
                <w:rFonts w:ascii="Times New Roman" w:hAnsi="Times New Roman" w:eastAsia="Arial" w:cs="Arial"/>
                <w:i/>
                <w:i/>
                <w:color w:val="000000"/>
                <w:sz w:val="18"/>
                <w:szCs w:val="18"/>
              </w:rPr>
            </w:pPr>
            <w:r>
              <w:rPr>
                <w:rFonts w:eastAsia="Arial" w:cs="Arial" w:ascii="Times New Roman" w:hAnsi="Times New Roman"/>
                <w:i/>
                <w:color w:val="000000"/>
                <w:sz w:val="18"/>
                <w:szCs w:val="18"/>
              </w:rPr>
              <w:t>Procedimentos: reuniões de trabalho e reunião de colegiado com registro em atas.</w:t>
            </w:r>
          </w:p>
          <w:p>
            <w:pPr>
              <w:pStyle w:val="Normal"/>
              <w:widowControl w:val="false"/>
              <w:spacing w:lineRule="auto" w:line="240" w:before="0" w:after="0"/>
              <w:jc w:val="both"/>
              <w:rPr>
                <w:rFonts w:ascii="Times New Roman" w:hAnsi="Times New Roman" w:eastAsia="Arial" w:cs="Arial"/>
                <w:i/>
                <w:i/>
                <w:color w:val="000000"/>
                <w:sz w:val="18"/>
                <w:szCs w:val="18"/>
              </w:rPr>
            </w:pPr>
            <w:r>
              <w:rPr>
                <w:rFonts w:eastAsia="Arial" w:cs="Arial" w:ascii="Times New Roman" w:hAnsi="Times New Roman"/>
                <w:i/>
                <w:color w:val="000000"/>
                <w:sz w:val="18"/>
                <w:szCs w:val="18"/>
              </w:rPr>
              <w:t>Envio da proposta de reformulação para a Biblioteca do Campus avaliar a adequação das bibliografias e viabilidade de aquisição.</w:t>
            </w:r>
          </w:p>
          <w:p>
            <w:pPr>
              <w:pStyle w:val="Normal"/>
              <w:widowControl w:val="false"/>
              <w:spacing w:lineRule="auto" w:line="240" w:before="0" w:after="0"/>
              <w:jc w:val="both"/>
              <w:rPr>
                <w:rFonts w:ascii="Times New Roman" w:hAnsi="Times New Roman" w:eastAsia="Arial" w:cs="Arial"/>
                <w:i/>
                <w:i/>
                <w:color w:val="000000"/>
                <w:sz w:val="18"/>
                <w:szCs w:val="18"/>
              </w:rPr>
            </w:pPr>
            <w:r>
              <w:rPr>
                <w:rFonts w:eastAsia="Arial" w:cs="Arial" w:ascii="Times New Roman" w:hAnsi="Times New Roman"/>
                <w:i/>
                <w:color w:val="000000"/>
                <w:sz w:val="18"/>
                <w:szCs w:val="18"/>
              </w:rPr>
              <w:t>Após retorno da biblioteca, envia para a Coordenação Acadêmica.</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A critério do colegiado</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3</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COORDENAÇÃO ACADÊMICA DO CAMPUS</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Analisa a adequação do projeto às diretrizes do campus para a organização do Domínio Conexo e o impacto da proposta na demanda de pessoal e de infraestrutura no campus.</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A critério da Coordenação Acadêmica</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4</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COORDENAÇÃO ACADÊMICA DO CAMPUS</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color w:val="000000"/>
                <w:sz w:val="18"/>
                <w:szCs w:val="18"/>
              </w:rPr>
            </w:pPr>
            <w:r>
              <w:rPr>
                <w:rFonts w:eastAsia="Arial" w:cs="Arial" w:ascii="Times New Roman" w:hAnsi="Times New Roman"/>
                <w:color w:val="000000"/>
                <w:sz w:val="18"/>
                <w:szCs w:val="18"/>
              </w:rPr>
              <w:t>A Coordenação Acadêmica, em cada campus, pode estabelecer fluxos e trâmites próprios para dialogar com as coordenações de curso, com a coordenação de laboratórios e com a biblioteca, no processo de formulação/reformulação de PPC.</w:t>
            </w:r>
          </w:p>
          <w:p>
            <w:pPr>
              <w:pStyle w:val="Normal"/>
              <w:widowControl w:val="false"/>
              <w:spacing w:lineRule="auto" w:line="240" w:before="0" w:after="0"/>
              <w:jc w:val="both"/>
              <w:rPr>
                <w:rFonts w:ascii="Times New Roman" w:hAnsi="Times New Roman" w:eastAsia="Arial" w:cs="Arial"/>
                <w:i/>
                <w:i/>
                <w:color w:val="000000"/>
                <w:sz w:val="18"/>
                <w:szCs w:val="18"/>
              </w:rPr>
            </w:pPr>
            <w:r>
              <w:rPr>
                <w:rFonts w:eastAsia="Arial" w:cs="Arial" w:ascii="Times New Roman" w:hAnsi="Times New Roman"/>
                <w:i/>
                <w:color w:val="000000"/>
                <w:sz w:val="18"/>
                <w:szCs w:val="18"/>
              </w:rPr>
              <w:t>Procedimentos: análise da adequação da proposta do PPC no âmbito do campus; biblioteca realiza revisão das referências bibliográficas</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color w:val="000000"/>
                <w:sz w:val="18"/>
                <w:szCs w:val="18"/>
              </w:rPr>
            </w:pPr>
            <w:r>
              <w:rPr>
                <w:rFonts w:ascii="Times New Roman" w:hAnsi="Times New Roman"/>
                <w:color w:val="000000"/>
                <w:sz w:val="18"/>
                <w:szCs w:val="18"/>
              </w:rPr>
              <w:t>A critério da Coordenação Acadêmica</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5</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CONSELHO DE CAMPUS</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É acionado para se manifestar somente quando a Coordenação Acadêmica do Campus identifica que há necessidade de adequação de infraestrutura e/ou de pessoal para oferta da proposta do PPC</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A critério do Conselho de Campus</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6</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COORDENAÇÃO ACADÊMICA</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sz w:val="18"/>
                <w:szCs w:val="18"/>
              </w:rPr>
            </w:pPr>
            <w:r>
              <w:rPr>
                <w:rFonts w:eastAsia="Arial" w:cs="Arial" w:ascii="Times New Roman" w:hAnsi="Times New Roman"/>
                <w:color w:val="000000"/>
                <w:sz w:val="18"/>
                <w:szCs w:val="18"/>
              </w:rPr>
              <w:t xml:space="preserve">Após trâmite e a análise nas instâncias competentes do campus, a Coordenação Acadêmica encaminha o PPC à DOP, por mensagem eletrônica contendo: </w:t>
            </w:r>
            <w:r>
              <w:rPr>
                <w:rFonts w:eastAsia="Arial" w:cs="Arial" w:ascii="Times New Roman" w:hAnsi="Times New Roman"/>
                <w:b/>
                <w:color w:val="000000"/>
                <w:sz w:val="18"/>
                <w:szCs w:val="18"/>
              </w:rPr>
              <w:t>ofício</w:t>
            </w:r>
            <w:r>
              <w:rPr>
                <w:rFonts w:eastAsia="Arial" w:cs="Arial" w:ascii="Times New Roman" w:hAnsi="Times New Roman"/>
                <w:color w:val="000000"/>
                <w:sz w:val="18"/>
                <w:szCs w:val="18"/>
              </w:rPr>
              <w:t xml:space="preserve">, solicitando a avaliação e a recomendação do novo PPC; um </w:t>
            </w:r>
            <w:r>
              <w:rPr>
                <w:rFonts w:eastAsia="Arial" w:cs="Arial" w:ascii="Times New Roman" w:hAnsi="Times New Roman"/>
                <w:b/>
                <w:color w:val="000000"/>
                <w:sz w:val="18"/>
                <w:szCs w:val="18"/>
              </w:rPr>
              <w:t xml:space="preserve">parecer </w:t>
            </w:r>
            <w:r>
              <w:rPr>
                <w:rFonts w:eastAsia="Arial" w:cs="Arial" w:ascii="Times New Roman" w:hAnsi="Times New Roman"/>
                <w:color w:val="000000"/>
                <w:sz w:val="18"/>
                <w:szCs w:val="18"/>
              </w:rPr>
              <w:t>com a análise realizada; e o texto da proposta de PPC a ser avaliada, em formato editável (.odt).</w:t>
            </w:r>
          </w:p>
          <w:p>
            <w:pPr>
              <w:pStyle w:val="Normal"/>
              <w:widowControl w:val="false"/>
              <w:spacing w:lineRule="auto" w:line="240" w:before="0" w:after="0"/>
              <w:jc w:val="both"/>
              <w:rPr>
                <w:rFonts w:ascii="Times New Roman" w:hAnsi="Times New Roman" w:eastAsia="Arial" w:cs="Arial"/>
                <w:i/>
                <w:i/>
                <w:color w:val="000000"/>
                <w:sz w:val="18"/>
                <w:szCs w:val="18"/>
              </w:rPr>
            </w:pPr>
            <w:r>
              <w:rPr>
                <w:rFonts w:eastAsia="Arial" w:cs="Arial" w:ascii="Times New Roman" w:hAnsi="Times New Roman"/>
                <w:i/>
                <w:color w:val="000000"/>
                <w:sz w:val="18"/>
                <w:szCs w:val="18"/>
              </w:rPr>
              <w:t>Procedimentos operacionais: cadastro de ofício e parecer no SIPAC, envio de e-mail</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sz w:val="18"/>
                <w:szCs w:val="18"/>
              </w:rPr>
            </w:pPr>
            <w:r>
              <w:rPr>
                <w:rFonts w:ascii="Times New Roman" w:hAnsi="Times New Roman"/>
                <w:sz w:val="18"/>
                <w:szCs w:val="18"/>
              </w:rPr>
              <w:t>A critério da Coordenação Acadêmica</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7</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DIRETORIA DE ORGANIZAÇÃO PEDAGÓGICA - DOP</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Analisa na PROGRAD em conjunto com a Diretoria de Registro Acadêmico - DRA a proposta de PPC e indica, no próprio texto, os aspectos pedagógicos, legais, institucionais e de operacionalização do projeto que precisam ser ajustados e devolve ao colegiado proponente, quando for o caso.</w:t>
            </w:r>
          </w:p>
          <w:p>
            <w:pPr>
              <w:pStyle w:val="Normal"/>
              <w:widowControl w:val="false"/>
              <w:spacing w:lineRule="auto" w:line="240" w:before="0" w:after="0"/>
              <w:jc w:val="both"/>
              <w:rPr>
                <w:rFonts w:ascii="Times New Roman" w:hAnsi="Times New Roman" w:eastAsia="Arial" w:cs="Arial"/>
                <w:i/>
                <w:i/>
                <w:color w:val="000000"/>
                <w:sz w:val="18"/>
                <w:szCs w:val="18"/>
              </w:rPr>
            </w:pPr>
            <w:r>
              <w:rPr>
                <w:rFonts w:eastAsia="Arial" w:cs="Arial" w:ascii="Times New Roman" w:hAnsi="Times New Roman"/>
                <w:i/>
                <w:color w:val="000000"/>
                <w:sz w:val="18"/>
                <w:szCs w:val="18"/>
              </w:rPr>
              <w:t>Procedimentos: análise da proposta de PPC e devolutiva via e-mail.</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Até 30 dias</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8</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COLEGIADO DE CURSO DE GRADUAÇÃO</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Recebe a devolutiva com as observações (exigências e/ou sugestões) indicadas pelas diretorias da PROGRAD (Diretoria de Registro Acadêmico e Diretoria de Organização Pedagógica).</w:t>
            </w:r>
          </w:p>
        </w:tc>
        <w:tc>
          <w:tcPr>
            <w:tcW w:w="1132"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Até 30 dias</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9</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COLEGIADO DE CURSO</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Indica no texto da proposta de PPC, todas supressões e/ou inserções realizadas e devolve o arquivo em formato editável, via mensagem eletrônica, para a DOP.</w:t>
            </w:r>
          </w:p>
          <w:p>
            <w:pPr>
              <w:pStyle w:val="Normal"/>
              <w:widowControl w:val="false"/>
              <w:spacing w:lineRule="auto" w:line="240" w:before="0" w:after="0"/>
              <w:jc w:val="both"/>
              <w:rPr>
                <w:rFonts w:ascii="Times New Roman" w:hAnsi="Times New Roman" w:eastAsia="Arial" w:cs="Arial"/>
                <w:i/>
                <w:i/>
                <w:color w:val="000000"/>
                <w:sz w:val="18"/>
                <w:szCs w:val="18"/>
              </w:rPr>
            </w:pPr>
            <w:r>
              <w:rPr>
                <w:rFonts w:eastAsia="Arial" w:cs="Arial" w:ascii="Times New Roman" w:hAnsi="Times New Roman"/>
                <w:i/>
                <w:color w:val="000000"/>
                <w:sz w:val="18"/>
                <w:szCs w:val="18"/>
              </w:rPr>
              <w:t>Procedimentos: reuniões de trabalho, reunião de colegiado registrada em ata e envio de e-mail.</w:t>
            </w:r>
          </w:p>
        </w:tc>
        <w:tc>
          <w:tcPr>
            <w:tcW w:w="1132"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150" w:after="15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10</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DIRETORIA DE ORGANIZAÇÃO PEDAGÓGICA - DOP</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Transpõe as mudanças para o arquivo original, analisa o texto e as justificativas apresentadas, quando houver, emite um parecer final e autua o processo de análise da proposta de PPC junto à Câmara de Graduação e Assuntos Estudantis (CGAE).</w:t>
            </w:r>
          </w:p>
          <w:p>
            <w:pPr>
              <w:pStyle w:val="Normal"/>
              <w:widowControl w:val="false"/>
              <w:spacing w:lineRule="auto" w:line="240" w:before="0" w:after="0"/>
              <w:jc w:val="both"/>
              <w:rPr>
                <w:rFonts w:ascii="Times New Roman" w:hAnsi="Times New Roman" w:eastAsia="Arial" w:cs="Arial"/>
                <w:i/>
                <w:i/>
                <w:color w:val="000000"/>
                <w:sz w:val="18"/>
                <w:szCs w:val="18"/>
              </w:rPr>
            </w:pPr>
            <w:r>
              <w:rPr>
                <w:rFonts w:eastAsia="Arial" w:cs="Arial" w:ascii="Times New Roman" w:hAnsi="Times New Roman"/>
                <w:i/>
                <w:color w:val="000000"/>
                <w:sz w:val="18"/>
                <w:szCs w:val="18"/>
              </w:rPr>
              <w:t>Procedimentos: abertura de processo, elaboração e cadastro de parecer no SIPAC, encaminhado via sistema para a CGAE.</w:t>
            </w:r>
          </w:p>
          <w:p>
            <w:pPr>
              <w:pStyle w:val="Normal"/>
              <w:widowControl w:val="false"/>
              <w:spacing w:lineRule="auto" w:line="240" w:before="0" w:after="0"/>
              <w:jc w:val="both"/>
              <w:rPr>
                <w:rFonts w:ascii="Times New Roman" w:hAnsi="Times New Roman"/>
                <w:sz w:val="18"/>
                <w:szCs w:val="18"/>
              </w:rPr>
            </w:pPr>
            <w:r>
              <w:rPr>
                <w:rFonts w:eastAsia="Arial" w:cs="Arial" w:ascii="Times New Roman" w:hAnsi="Times New Roman"/>
                <w:i/>
                <w:sz w:val="18"/>
                <w:szCs w:val="18"/>
              </w:rPr>
              <w:t>Realizar a juntada de peças ao processo: ata de colegiado e parecer da Coordenação Acadêmica.</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Até 30 dias</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11</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CÂMARA DE GRADUAÇÃO E ASSUNTOS ESTUDANTIS - CGAE</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Processo com a proposta de PPC é incluída na pauta da Câmara de Graduação e Assuntos Estudantis, sendo designado um relator, segundo fluxo e prazos previstos no Regimento Interno do CONSUNI.</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 xml:space="preserve">Sessão para designação de relatoria </w:t>
            </w:r>
          </w:p>
          <w:p>
            <w:pPr>
              <w:pStyle w:val="Normal"/>
              <w:widowControl w:val="false"/>
              <w:spacing w:lineRule="auto" w:line="240" w:before="0" w:after="0"/>
              <w:jc w:val="both"/>
              <w:rPr>
                <w:rFonts w:ascii="Times New Roman" w:hAnsi="Times New Roman" w:eastAsia="Arial" w:cs="Arial"/>
                <w:i/>
                <w:i/>
                <w:iCs/>
                <w:color w:val="000000"/>
                <w:sz w:val="16"/>
                <w:szCs w:val="16"/>
              </w:rPr>
            </w:pPr>
            <w:r>
              <w:rPr>
                <w:rFonts w:eastAsia="Arial" w:cs="Arial" w:ascii="Times New Roman" w:hAnsi="Times New Roman"/>
                <w:i/>
                <w:iCs/>
                <w:color w:val="000000"/>
                <w:sz w:val="16"/>
                <w:szCs w:val="16"/>
              </w:rPr>
              <w:t>(prazo estimado após designação: 30 dias)</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12</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CÂMARA DE GRADUAÇÃO E ASSUNTOS ESTUDANTIS - CGAE</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Analisa o parecer e voto do relator da matéria.</w:t>
            </w:r>
          </w:p>
          <w:p>
            <w:pPr>
              <w:pStyle w:val="Normal"/>
              <w:widowControl w:val="false"/>
              <w:spacing w:lineRule="auto" w:line="240" w:before="0" w:after="0"/>
              <w:jc w:val="both"/>
              <w:rPr>
                <w:rFonts w:ascii="Times New Roman" w:hAnsi="Times New Roman" w:eastAsia="Arial" w:cs="Arial"/>
                <w:i/>
                <w:i/>
                <w:color w:val="000000"/>
                <w:sz w:val="18"/>
                <w:szCs w:val="18"/>
              </w:rPr>
            </w:pPr>
            <w:r>
              <w:rPr>
                <w:rFonts w:eastAsia="Arial" w:cs="Arial" w:ascii="Times New Roman" w:hAnsi="Times New Roman"/>
                <w:i/>
                <w:color w:val="000000"/>
                <w:sz w:val="18"/>
                <w:szCs w:val="18"/>
              </w:rPr>
              <w:t>Procedimentos: devolve o processo para a DOP com o despacho da decisão da Câmara.</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Sessão para apresentação de parecer e voto da matéria</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13</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DOP</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Caso a Câmara aprove a proposta com ressalvas, apontando sugestões ou necessidades de alteração no texto da proposta de PPC, a DOP faz a mediação com o colegiado proponente, reencaminhando o arquivo digital, incluindo o parecer aprovado pela Câmara, para análise e ajustes.</w:t>
            </w:r>
          </w:p>
          <w:p>
            <w:pPr>
              <w:pStyle w:val="Normal"/>
              <w:widowControl w:val="false"/>
              <w:spacing w:lineRule="auto" w:line="240" w:before="0" w:after="0"/>
              <w:jc w:val="both"/>
              <w:rPr>
                <w:rFonts w:ascii="Times New Roman" w:hAnsi="Times New Roman" w:eastAsia="Arial" w:cs="Arial"/>
                <w:i/>
                <w:i/>
                <w:color w:val="000000"/>
                <w:sz w:val="18"/>
                <w:szCs w:val="18"/>
              </w:rPr>
            </w:pPr>
            <w:r>
              <w:rPr>
                <w:rFonts w:eastAsia="Arial" w:cs="Arial" w:ascii="Times New Roman" w:hAnsi="Times New Roman"/>
                <w:i/>
                <w:color w:val="000000"/>
                <w:sz w:val="18"/>
                <w:szCs w:val="18"/>
              </w:rPr>
              <w:t>Procedimentos: recebimento do processo da CGAE e diálogo com o curso, envio de arquivos via e-mail.</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02 dias a contar do recebimento do processo</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14</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COLEGIADO DE CURSO DE GRADUAÇÃO</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Recebe a devolutiva com as observações (exigências e/ou sugestões) indicadas pelas diretorias da PROGRAD (Diretoria de Registro Acadêmico e Diretoria de Organização Pedagógica).</w:t>
            </w:r>
          </w:p>
        </w:tc>
        <w:tc>
          <w:tcPr>
            <w:tcW w:w="1132"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Até 30 dias</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15</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COLEGIADO DE CURSO DE GRADUAÇÃO</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sz w:val="18"/>
                <w:szCs w:val="18"/>
              </w:rPr>
            </w:pPr>
            <w:r>
              <w:rPr>
                <w:rFonts w:eastAsia="Arial" w:cs="Arial" w:ascii="Times New Roman" w:hAnsi="Times New Roman"/>
                <w:sz w:val="18"/>
                <w:szCs w:val="18"/>
              </w:rPr>
              <w:t>Indica no texto da proposta de PPC, todas supressões e/ou inserções realizadas, conforme as orientações e devolve o arquivo em formato editável, via mensagem eletrônica, para a DOP.</w:t>
            </w:r>
          </w:p>
          <w:p>
            <w:pPr>
              <w:pStyle w:val="Normal"/>
              <w:widowControl w:val="false"/>
              <w:spacing w:lineRule="auto" w:line="240" w:before="0" w:after="0"/>
              <w:jc w:val="both"/>
              <w:rPr>
                <w:rFonts w:ascii="Times New Roman" w:hAnsi="Times New Roman" w:eastAsia="Arial" w:cs="Arial"/>
                <w:i/>
                <w:i/>
                <w:color w:val="000000"/>
                <w:sz w:val="18"/>
                <w:szCs w:val="18"/>
              </w:rPr>
            </w:pPr>
            <w:r>
              <w:rPr>
                <w:rFonts w:eastAsia="Arial" w:cs="Arial" w:ascii="Times New Roman" w:hAnsi="Times New Roman"/>
                <w:i/>
                <w:color w:val="000000"/>
                <w:sz w:val="18"/>
                <w:szCs w:val="18"/>
              </w:rPr>
              <w:t>Procedimentos: reuniões de trabalho, reunião de colegiado registrada em ata e envio de e-mail.</w:t>
            </w:r>
          </w:p>
        </w:tc>
        <w:tc>
          <w:tcPr>
            <w:tcW w:w="1132"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150" w:after="150"/>
              <w:jc w:val="both"/>
              <w:rPr>
                <w:rFonts w:ascii="Times New Roman" w:hAnsi="Times New Roman"/>
                <w:sz w:val="18"/>
                <w:szCs w:val="18"/>
              </w:rPr>
            </w:pPr>
            <w:r>
              <w:rPr>
                <w:rFonts w:ascii="Times New Roman" w:hAnsi="Times New Roman"/>
                <w:sz w:val="18"/>
                <w:szCs w:val="18"/>
              </w:rPr>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16</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DOP</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Transpõe as mudanças para o arquivo original, analisa o texto e as justificativas apresentadas, quando houver, emite um parecer final e autua o processo de análise da proposta de PPC junto à Câmara de Graduação e Assuntos Estudantis (CGAE).</w:t>
            </w:r>
          </w:p>
          <w:p>
            <w:pPr>
              <w:pStyle w:val="Normal"/>
              <w:widowControl w:val="false"/>
              <w:spacing w:lineRule="auto" w:line="240" w:before="0" w:after="0"/>
              <w:jc w:val="both"/>
              <w:rPr>
                <w:rFonts w:ascii="Times New Roman" w:hAnsi="Times New Roman" w:eastAsia="Arial" w:cs="Arial"/>
                <w:i/>
                <w:i/>
                <w:color w:val="000000"/>
                <w:sz w:val="18"/>
                <w:szCs w:val="18"/>
              </w:rPr>
            </w:pPr>
            <w:r>
              <w:rPr>
                <w:rFonts w:eastAsia="Arial" w:cs="Arial" w:ascii="Times New Roman" w:hAnsi="Times New Roman"/>
                <w:i/>
                <w:color w:val="000000"/>
                <w:sz w:val="18"/>
                <w:szCs w:val="18"/>
              </w:rPr>
              <w:t>Procedimentos: elaboração e cadastro de novo parecer no SIPAC, encaminhado processo via sistema para a CGAE.</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Até 15 dias</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17</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CÂMARA DE GRADUAÇÃO E ASSUNTOS ESTUDANTIS - CGAE</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Analisa a devolutiva do colegiado e o novo parecer da DOP para homologar a aprovação do novo PPC em caráter definitivo.</w:t>
            </w:r>
          </w:p>
          <w:p>
            <w:pPr>
              <w:pStyle w:val="Normal"/>
              <w:widowControl w:val="false"/>
              <w:spacing w:lineRule="auto" w:line="240" w:before="0" w:after="0"/>
              <w:jc w:val="both"/>
              <w:rPr>
                <w:rFonts w:ascii="Times New Roman" w:hAnsi="Times New Roman" w:eastAsia="Arial" w:cs="Arial"/>
                <w:i/>
                <w:i/>
                <w:color w:val="000000"/>
                <w:sz w:val="18"/>
                <w:szCs w:val="18"/>
              </w:rPr>
            </w:pPr>
            <w:r>
              <w:rPr>
                <w:rFonts w:eastAsia="Arial" w:cs="Arial" w:ascii="Times New Roman" w:hAnsi="Times New Roman"/>
                <w:i/>
                <w:color w:val="000000"/>
                <w:sz w:val="18"/>
                <w:szCs w:val="18"/>
              </w:rPr>
              <w:t>Procedimentos: devolve o processo para a DOP com o despacho da decisão da Câmara.</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Inclui como pauta da sessão mais próxima</w:t>
            </w:r>
          </w:p>
        </w:tc>
      </w:tr>
      <w:tr>
        <w:trPr/>
        <w:tc>
          <w:tcPr>
            <w:tcW w:w="5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rPr>
            </w:pPr>
            <w:r>
              <w:rPr>
                <w:rFonts w:eastAsia="Arial" w:cs="Arial" w:ascii="Times New Roman" w:hAnsi="Times New Roman"/>
                <w:color w:val="000000"/>
                <w:sz w:val="18"/>
                <w:szCs w:val="18"/>
              </w:rPr>
              <w:t>18</w:t>
            </w:r>
          </w:p>
        </w:tc>
        <w:tc>
          <w:tcPr>
            <w:tcW w:w="175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rPr>
                <w:rFonts w:ascii="Times New Roman" w:hAnsi="Times New Roman" w:eastAsia="Arial" w:cs="Arial"/>
                <w:color w:val="000000"/>
                <w:sz w:val="18"/>
                <w:szCs w:val="18"/>
              </w:rPr>
            </w:pPr>
            <w:r>
              <w:rPr>
                <w:rFonts w:eastAsia="Arial" w:cs="Arial" w:ascii="Times New Roman" w:hAnsi="Times New Roman"/>
                <w:color w:val="000000"/>
                <w:sz w:val="18"/>
                <w:szCs w:val="18"/>
              </w:rPr>
              <w:t>DOP</w:t>
            </w:r>
          </w:p>
        </w:tc>
        <w:tc>
          <w:tcPr>
            <w:tcW w:w="5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highlight w:val="white"/>
              </w:rPr>
            </w:pPr>
            <w:r>
              <w:rPr>
                <w:rFonts w:eastAsia="Arial" w:cs="Arial" w:ascii="Times New Roman" w:hAnsi="Times New Roman"/>
                <w:color w:val="000000"/>
                <w:sz w:val="18"/>
                <w:szCs w:val="18"/>
                <w:shd w:fill="FFFFFF" w:val="clear"/>
              </w:rPr>
              <w:t>Após finalizado a etapa de homologação do PPC na CGAE a DOP recebe o processo e dá andamento aos procedimentos descritos nos próximos passos.</w:t>
            </w:r>
          </w:p>
          <w:p>
            <w:pPr>
              <w:pStyle w:val="Normal"/>
              <w:widowControl w:val="false"/>
              <w:spacing w:lineRule="auto" w:line="240" w:before="0" w:after="0"/>
              <w:jc w:val="both"/>
              <w:rPr>
                <w:rFonts w:ascii="Times New Roman" w:hAnsi="Times New Roman" w:eastAsia="Arial" w:cs="Arial"/>
                <w:color w:val="000000"/>
                <w:sz w:val="18"/>
                <w:szCs w:val="18"/>
                <w:highlight w:val="white"/>
              </w:rPr>
            </w:pPr>
            <w:r>
              <w:rPr>
                <w:rFonts w:eastAsia="Arial" w:cs="Arial" w:ascii="Times New Roman" w:hAnsi="Times New Roman"/>
                <w:color w:val="000000"/>
                <w:sz w:val="18"/>
                <w:szCs w:val="18"/>
                <w:shd w:fill="FFFFFF" w:val="clear"/>
              </w:rPr>
              <w:t>Encaminhamento do documento para revisão textual conforme banco de revisores.</w:t>
            </w:r>
          </w:p>
          <w:p>
            <w:pPr>
              <w:pStyle w:val="Normal"/>
              <w:widowControl w:val="false"/>
              <w:spacing w:lineRule="auto" w:line="240" w:before="0" w:after="0"/>
              <w:jc w:val="both"/>
              <w:rPr>
                <w:rFonts w:ascii="Times New Roman" w:hAnsi="Times New Roman" w:eastAsia="Arial" w:cs="Arial"/>
                <w:color w:val="000000"/>
                <w:sz w:val="18"/>
                <w:szCs w:val="18"/>
                <w:highlight w:val="white"/>
              </w:rPr>
            </w:pPr>
            <w:r>
              <w:rPr>
                <w:rFonts w:eastAsia="Arial" w:cs="Arial" w:ascii="Times New Roman" w:hAnsi="Times New Roman"/>
                <w:color w:val="000000"/>
                <w:sz w:val="18"/>
                <w:szCs w:val="18"/>
                <w:shd w:fill="FFFFFF" w:val="clear"/>
              </w:rPr>
              <w:t>Inserção das informações dos componentes curriculares no Sistema de Gestão Acadêmica - SGA para codificação de cada um.</w:t>
            </w:r>
          </w:p>
          <w:p>
            <w:pPr>
              <w:pStyle w:val="Normal"/>
              <w:widowControl w:val="false"/>
              <w:spacing w:lineRule="auto" w:line="240" w:before="0" w:after="0"/>
              <w:jc w:val="both"/>
              <w:rPr>
                <w:rFonts w:ascii="Times New Roman" w:hAnsi="Times New Roman" w:eastAsia="Arial" w:cs="Arial"/>
                <w:color w:val="000000"/>
                <w:sz w:val="18"/>
                <w:szCs w:val="18"/>
                <w:highlight w:val="white"/>
              </w:rPr>
            </w:pPr>
            <w:r>
              <w:rPr>
                <w:rFonts w:eastAsia="Arial" w:cs="Arial" w:ascii="Times New Roman" w:hAnsi="Times New Roman"/>
                <w:color w:val="000000"/>
                <w:sz w:val="18"/>
                <w:szCs w:val="18"/>
                <w:shd w:fill="FFFFFF" w:val="clear"/>
              </w:rPr>
              <w:t>Envio do documento final para ser providenciada a aquisição das obras prescritas nos ementários, pelo Departamento de Planejamento e Suporte Administrativo (DPSA/PROGRAD).</w:t>
            </w:r>
          </w:p>
          <w:p>
            <w:pPr>
              <w:pStyle w:val="Normal"/>
              <w:widowControl w:val="false"/>
              <w:spacing w:lineRule="auto" w:line="240" w:before="0" w:after="0"/>
              <w:jc w:val="both"/>
              <w:rPr>
                <w:rFonts w:ascii="Times New Roman" w:hAnsi="Times New Roman" w:eastAsia="Arial" w:cs="Arial"/>
                <w:color w:val="000000"/>
                <w:sz w:val="18"/>
                <w:szCs w:val="18"/>
                <w:highlight w:val="white"/>
              </w:rPr>
            </w:pPr>
            <w:r>
              <w:rPr>
                <w:rFonts w:eastAsia="Arial" w:cs="Arial" w:ascii="Times New Roman" w:hAnsi="Times New Roman"/>
                <w:color w:val="000000"/>
                <w:sz w:val="18"/>
                <w:szCs w:val="18"/>
                <w:shd w:fill="FFFFFF" w:val="clear"/>
              </w:rPr>
              <w:t>Envio do documento para a DRA cadastrar matriz curricular, tabela de equivalências e ACCs no Sistema de Gestão Acadêmica (SGA) e poder iniciar a oferta de turmas conforme novo PPC.</w:t>
            </w:r>
          </w:p>
          <w:p>
            <w:pPr>
              <w:pStyle w:val="Normal"/>
              <w:widowControl w:val="false"/>
              <w:spacing w:lineRule="auto" w:line="240" w:before="0" w:after="0"/>
              <w:jc w:val="both"/>
              <w:rPr>
                <w:rFonts w:ascii="Times New Roman" w:hAnsi="Times New Roman" w:eastAsia="Arial" w:cs="Arial"/>
                <w:color w:val="000000"/>
                <w:sz w:val="18"/>
                <w:szCs w:val="18"/>
                <w:highlight w:val="white"/>
              </w:rPr>
            </w:pPr>
            <w:r>
              <w:rPr>
                <w:rFonts w:eastAsia="Arial" w:cs="Arial" w:ascii="Times New Roman" w:hAnsi="Times New Roman"/>
                <w:color w:val="000000"/>
                <w:sz w:val="18"/>
                <w:szCs w:val="18"/>
                <w:shd w:fill="FFFFFF" w:val="clear"/>
              </w:rPr>
              <w:t>Publicação no site da UFFS da versão final do PPC, para acesso da comunidade acadêmica.</w:t>
            </w:r>
          </w:p>
          <w:p>
            <w:pPr>
              <w:pStyle w:val="Normal"/>
              <w:widowControl w:val="false"/>
              <w:spacing w:lineRule="auto" w:line="240" w:before="0" w:after="0"/>
              <w:jc w:val="both"/>
              <w:rPr>
                <w:rFonts w:ascii="Times New Roman" w:hAnsi="Times New Roman" w:eastAsia="Arial" w:cs="Arial"/>
                <w:color w:val="000000"/>
                <w:sz w:val="18"/>
                <w:szCs w:val="18"/>
                <w:highlight w:val="white"/>
              </w:rPr>
            </w:pPr>
            <w:r>
              <w:rPr>
                <w:rFonts w:eastAsia="Arial" w:cs="Arial" w:ascii="Times New Roman" w:hAnsi="Times New Roman"/>
                <w:color w:val="000000"/>
                <w:sz w:val="18"/>
                <w:szCs w:val="18"/>
                <w:shd w:fill="FFFFFF" w:val="clear"/>
              </w:rPr>
              <w:t>Informa a Procuradoria Educacional Institucional - PI da UFFS sobre o novo PPC, para atualização das informações no sistema e-MEC.</w:t>
            </w:r>
          </w:p>
          <w:p>
            <w:pPr>
              <w:pStyle w:val="Normal"/>
              <w:widowControl w:val="false"/>
              <w:spacing w:lineRule="auto" w:line="240" w:before="0" w:after="0"/>
              <w:jc w:val="both"/>
              <w:rPr>
                <w:rFonts w:ascii="Times New Roman" w:hAnsi="Times New Roman" w:eastAsia="Arial" w:cs="Arial"/>
                <w:color w:val="000000"/>
                <w:sz w:val="18"/>
                <w:szCs w:val="18"/>
                <w:highlight w:val="white"/>
              </w:rPr>
            </w:pPr>
            <w:r>
              <w:rPr>
                <w:rFonts w:eastAsia="Arial" w:cs="Arial" w:ascii="Times New Roman" w:hAnsi="Times New Roman"/>
                <w:color w:val="000000"/>
                <w:sz w:val="18"/>
                <w:szCs w:val="18"/>
                <w:shd w:fill="FFFFFF" w:val="clear"/>
              </w:rPr>
              <w:t>Envio do processo finalizado via SIPAC para arquivamento junto à CGAE.</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spacing w:lineRule="auto" w:line="240" w:before="0" w:after="0"/>
              <w:jc w:val="both"/>
              <w:rPr>
                <w:rFonts w:ascii="Times New Roman" w:hAnsi="Times New Roman" w:eastAsia="Arial" w:cs="Arial"/>
                <w:color w:val="000000"/>
                <w:sz w:val="18"/>
                <w:szCs w:val="18"/>
                <w:highlight w:val="white"/>
              </w:rPr>
            </w:pPr>
            <w:r>
              <w:rPr>
                <w:rFonts w:eastAsia="Arial" w:cs="Arial" w:ascii="Times New Roman" w:hAnsi="Times New Roman"/>
                <w:color w:val="000000"/>
                <w:sz w:val="18"/>
                <w:szCs w:val="18"/>
                <w:shd w:fill="FFFFFF" w:val="clear"/>
              </w:rPr>
              <w:t>30 dias</w:t>
            </w:r>
          </w:p>
        </w:tc>
      </w:tr>
    </w:tbl>
    <w:p>
      <w:pPr>
        <w:pStyle w:val="Normal"/>
        <w:spacing w:lineRule="auto" w:line="240" w:before="0" w:after="0"/>
        <w:ind w:firstLine="708"/>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 xml:space="preserve">Como se pode perceber, o cronograma proposto poderá, em determinados cursos, apresentar prazos insuficientes para a construção dos debates e reflexões dos GTs/NDEs/Colegiados tendo em vista que a proposta de reformulação, além da inserção das atividades de extensão e cultura no currículo, pretende estimular o repensar de outros horizontes, como afirmado anteriormente.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Ainda, cabe ressaltar que no caso das licenciaturas, há a necessidade de se aguardar a aprovação/atualização da Política de Formação de Professores na UFFS, que será debatida em 2022, na II Conferência das Licenciaturas, em organização pelo Fórum das Licenciaturas. Essa política também deverá ser aprovada nos colegiados internos da Universidade.</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Diante desse cenário, alguns colégios de Pró-reitores ligados à Andifes, como a COGRAD (Colégio de Pró-reitores de Graduação), COEX (Colégio de Pró-reitores de Extensão), por meio da própria Andifes, têm pleiteado junto ao MEC a dilatação dos prazos atuais para implementação das DCNs, especialmente às relativas à inserção da extensão (</w:t>
      </w:r>
      <w:r>
        <w:rPr>
          <w:rFonts w:cs="Times New Roman" w:ascii="Times New Roman" w:hAnsi="Times New Roman"/>
          <w:color w:val="162937"/>
          <w:sz w:val="24"/>
          <w:szCs w:val="24"/>
          <w:shd w:fill="FFFFFF" w:val="clear"/>
        </w:rPr>
        <w:t>Resolução CNE/CES nº 7, de 18 de dezembro de 2018) e a das licenciaturas (</w:t>
      </w:r>
      <w:r>
        <w:rPr>
          <w:rFonts w:cs="Times New Roman" w:ascii="Times New Roman" w:hAnsi="Times New Roman"/>
          <w:sz w:val="24"/>
          <w:szCs w:val="24"/>
        </w:rPr>
        <w:t xml:space="preserve">Resolução CNE/CP nº 2, de 20 de dezembro de 2019).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Conforme se pode perceber, grande parte das IFES ligadas a esses colégios da Andifes, compreendem que os prazos determinados para implementação das DCNs são insuficientes e precisam ser alterados. Assim, diante do movimento que se percebe no MEC, nos parece bastante provável que tais prazos sejam dilatados novamente.</w:t>
      </w:r>
    </w:p>
    <w:p>
      <w:pPr>
        <w:pStyle w:val="Normal"/>
        <w:spacing w:lineRule="auto" w:line="240" w:before="0" w:after="0"/>
        <w:ind w:firstLine="708"/>
        <w:jc w:val="both"/>
        <w:rPr>
          <w:rFonts w:ascii="Times New Roman" w:hAnsi="Times New Roman" w:cs="Times New Roman"/>
          <w:sz w:val="24"/>
          <w:szCs w:val="24"/>
          <w:u w:val="single"/>
        </w:rPr>
      </w:pPr>
      <w:r>
        <w:rPr>
          <w:rFonts w:cs="Times New Roman" w:ascii="Times New Roman" w:hAnsi="Times New Roman"/>
          <w:sz w:val="24"/>
          <w:szCs w:val="24"/>
        </w:rPr>
        <w:t xml:space="preserve">Sendo assim, caso um curso de graduação (bacharelado ou licenciatura) da UFFS entenda que o prazo do cronograma apresentado seja insuficiente para operacionalizar as reformulações do PPC, </w:t>
      </w:r>
      <w:r>
        <w:rPr>
          <w:rFonts w:cs="Times New Roman" w:ascii="Times New Roman" w:hAnsi="Times New Roman"/>
          <w:b/>
          <w:bCs/>
          <w:sz w:val="24"/>
          <w:szCs w:val="24"/>
          <w:u w:val="single"/>
        </w:rPr>
        <w:t>necessário se faz que justifique à Prograd,</w:t>
      </w:r>
      <w:r>
        <w:rPr>
          <w:rFonts w:cs="Times New Roman" w:ascii="Times New Roman" w:hAnsi="Times New Roman"/>
          <w:b/>
          <w:bCs/>
          <w:sz w:val="24"/>
          <w:szCs w:val="24"/>
        </w:rPr>
        <w:t xml:space="preserve"> </w:t>
      </w:r>
      <w:r>
        <w:rPr>
          <w:rFonts w:cs="Times New Roman" w:ascii="Times New Roman" w:hAnsi="Times New Roman"/>
          <w:sz w:val="24"/>
          <w:szCs w:val="24"/>
        </w:rPr>
        <w:t xml:space="preserve">nos termos do </w:t>
      </w:r>
      <w:r>
        <w:rPr>
          <w:rFonts w:cs="Times New Roman" w:ascii="Times New Roman" w:hAnsi="Times New Roman"/>
          <w:b/>
          <w:bCs/>
          <w:sz w:val="24"/>
          <w:szCs w:val="24"/>
          <w:u w:val="single"/>
        </w:rPr>
        <w:t>Anexo deste Ofício Circular</w:t>
      </w:r>
      <w:r>
        <w:rPr>
          <w:rFonts w:cs="Times New Roman" w:ascii="Times New Roman" w:hAnsi="Times New Roman"/>
          <w:sz w:val="24"/>
          <w:szCs w:val="24"/>
        </w:rPr>
        <w:t xml:space="preserve">, </w:t>
      </w:r>
      <w:r>
        <w:rPr>
          <w:rFonts w:cs="Times New Roman" w:ascii="Times New Roman" w:hAnsi="Times New Roman"/>
          <w:b/>
          <w:bCs/>
          <w:sz w:val="24"/>
          <w:szCs w:val="24"/>
          <w:u w:val="single"/>
        </w:rPr>
        <w:t>até 20/06/2022.</w:t>
      </w:r>
      <w:r>
        <w:rPr>
          <w:rFonts w:cs="Times New Roman" w:ascii="Times New Roman" w:hAnsi="Times New Roman"/>
          <w:sz w:val="24"/>
          <w:szCs w:val="24"/>
        </w:rPr>
        <w:t xml:space="preserve"> A justificativa será apensada aos registros da Prograd para todos os efeitos legais e normativos perante o Ministério da Educação, se for o caso. </w:t>
      </w:r>
      <w:r>
        <w:rPr>
          <w:rFonts w:cs="Times New Roman" w:ascii="Times New Roman" w:hAnsi="Times New Roman"/>
          <w:b/>
          <w:bCs/>
          <w:sz w:val="24"/>
          <w:szCs w:val="24"/>
          <w:u w:val="single"/>
        </w:rPr>
        <w:t>No entanto, a justificativa somente será possível para os cursos cujos atos regulatórios de reconhecimento já ocorreram e permitida, no máximo, até o próximo ato regulatório do curso</w:t>
      </w:r>
      <w:r>
        <w:rPr>
          <w:rFonts w:cs="Times New Roman" w:ascii="Times New Roman" w:hAnsi="Times New Roman"/>
          <w:b/>
          <w:bCs/>
          <w:sz w:val="24"/>
          <w:szCs w:val="24"/>
          <w:u w:val="single"/>
          <w:vertAlign w:val="superscript"/>
        </w:rPr>
        <w:t>(*)</w:t>
      </w:r>
      <w:r>
        <w:rPr>
          <w:rFonts w:cs="Times New Roman" w:ascii="Times New Roman" w:hAnsi="Times New Roman"/>
          <w:b/>
          <w:bCs/>
          <w:sz w:val="24"/>
          <w:szCs w:val="24"/>
          <w:u w:val="single"/>
        </w:rPr>
        <w:t xml:space="preserve">, isto é, a renovação de reconhecimento (e apenas no caso de cursos que exijam a verificação </w:t>
      </w:r>
      <w:r>
        <w:rPr>
          <w:rFonts w:cs="Times New Roman" w:ascii="Times New Roman" w:hAnsi="Times New Roman"/>
          <w:b/>
          <w:bCs/>
          <w:i/>
          <w:iCs/>
          <w:sz w:val="24"/>
          <w:szCs w:val="24"/>
          <w:u w:val="single"/>
        </w:rPr>
        <w:t>in loco</w:t>
      </w:r>
      <w:r>
        <w:rPr>
          <w:rFonts w:cs="Times New Roman" w:ascii="Times New Roman" w:hAnsi="Times New Roman"/>
          <w:b/>
          <w:bCs/>
          <w:sz w:val="24"/>
          <w:szCs w:val="24"/>
          <w:u w:val="single"/>
        </w:rPr>
        <w:t>). No caso de cursos que precisem passar pelo ato regulatório do reconhecimento em 2022 ou 2023 (cursos novos que não contemplem a inserção das atividades de extensão e/ou as adaptações da Res. 2/2019), é obrigatória a reformulação do PPC, de modo a contemplar as novas DCNs.</w:t>
      </w:r>
      <w:r>
        <w:rPr>
          <w:rFonts w:cs="Times New Roman" w:ascii="Times New Roman" w:hAnsi="Times New Roman"/>
          <w:sz w:val="24"/>
          <w:szCs w:val="24"/>
          <w:u w:val="single"/>
        </w:rPr>
        <w:t xml:space="preserve"> </w:t>
      </w:r>
    </w:p>
    <w:p>
      <w:pPr>
        <w:pStyle w:val="Normal"/>
        <w:spacing w:lineRule="auto" w:line="240" w:before="0" w:after="0"/>
        <w:ind w:firstLine="708"/>
        <w:jc w:val="both"/>
        <w:rPr>
          <w:rFonts w:ascii="Times New Roman" w:hAnsi="Times New Roman" w:cs="Times New Roman"/>
          <w:b/>
          <w:b/>
          <w:bCs/>
          <w:sz w:val="24"/>
          <w:szCs w:val="24"/>
          <w:u w:val="single"/>
        </w:rPr>
      </w:pPr>
      <w:r>
        <w:rPr>
          <w:rFonts w:cs="Times New Roman" w:ascii="Times New Roman" w:hAnsi="Times New Roman"/>
          <w:b/>
          <w:bCs/>
          <w:sz w:val="24"/>
          <w:szCs w:val="24"/>
          <w:u w:val="single"/>
        </w:rPr>
        <w:t>Havendo a justificativa por parte do curso, salienta-se que o prazo máximo permitido para o envio do PPC à DOP é 19/07/2023.</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b/>
          <w:bCs/>
          <w:sz w:val="24"/>
          <w:szCs w:val="24"/>
          <w:u w:val="single"/>
        </w:rPr>
        <w:t>No caso das licenciaturas, é importante que os cursos formalizem a justificativa à Prograd,</w:t>
      </w:r>
      <w:r>
        <w:rPr>
          <w:rFonts w:cs="Times New Roman" w:ascii="Times New Roman" w:hAnsi="Times New Roman"/>
          <w:sz w:val="24"/>
          <w:szCs w:val="24"/>
        </w:rPr>
        <w:t xml:space="preserve"> mesmo que seja necessário aguardar a aprovação da atualização da Política de Formação de Professores da UFFS para a reformulação dos PPCs.</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Ainda, na hipótese das referidas DCNs (Res 7/2018 – extensão e Res 2/2019 – licenciaturas) não terem seus prazos dilatados, faz-se necessário que, desde já, os GTs/Colegiados/NDEs explicitem, na justificativa, como procederão em relação ao ingresso dos novos estudantes (turmas) em 2023, conforme o </w:t>
      </w:r>
      <w:r>
        <w:rPr>
          <w:rFonts w:cs="Times New Roman" w:ascii="Times New Roman" w:hAnsi="Times New Roman"/>
          <w:b/>
          <w:bCs/>
          <w:sz w:val="24"/>
          <w:szCs w:val="24"/>
          <w:u w:val="single"/>
        </w:rPr>
        <w:t>Anexo.</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É importante destacar que, após formalizada a justificativa de um curso, a Prograd se manifestará, orientando o curso acerca da possibilidade ou não da justificativa, tendo em vista os atos regulatórios do curso.</w:t>
      </w:r>
    </w:p>
    <w:p>
      <w:pPr>
        <w:pStyle w:val="Normal"/>
        <w:spacing w:lineRule="auto" w:line="240" w:before="0" w:after="0"/>
        <w:ind w:firstLine="708"/>
        <w:jc w:val="both"/>
        <w:rPr/>
      </w:pPr>
      <w:r>
        <w:rPr>
          <w:rFonts w:cs="Times New Roman" w:ascii="Times New Roman" w:hAnsi="Times New Roman"/>
          <w:sz w:val="24"/>
          <w:szCs w:val="24"/>
        </w:rPr>
        <w:t xml:space="preserve">Caso permaneçam dúvidas, solicitamos a gentileza de contatar a DOP, pelo e-mail: </w:t>
      </w:r>
      <w:hyperlink r:id="rId22">
        <w:r>
          <w:rPr>
            <w:rStyle w:val="LinkdaInternet"/>
            <w:rFonts w:cs="Times New Roman" w:ascii="Times New Roman" w:hAnsi="Times New Roman"/>
            <w:sz w:val="24"/>
            <w:szCs w:val="24"/>
          </w:rPr>
          <w:t>dir.dop@uffs.edu.br</w:t>
        </w:r>
      </w:hyperlink>
      <w:r>
        <w:rPr>
          <w:rFonts w:cs="Times New Roman" w:ascii="Times New Roman" w:hAnsi="Times New Roman"/>
          <w:sz w:val="24"/>
          <w:szCs w:val="24"/>
        </w:rPr>
        <w:t xml:space="preserve">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pPr>
      <w:r>
        <w:rPr>
          <w:rFonts w:cs="Times New Roman" w:ascii="Times New Roman" w:hAnsi="Times New Roman"/>
          <w:sz w:val="24"/>
          <w:szCs w:val="24"/>
        </w:rPr>
        <w:t>(*)</w:t>
      </w:r>
      <w:r>
        <w:rPr>
          <w:rFonts w:cs="Times New Roman" w:ascii="Times New Roman" w:hAnsi="Times New Roman"/>
          <w:b/>
          <w:bCs/>
          <w:sz w:val="24"/>
          <w:szCs w:val="24"/>
        </w:rPr>
        <w:t xml:space="preserve">Para pesquisar o ato regulatório do seu curso, pesquise no </w:t>
      </w:r>
      <w:r>
        <w:rPr>
          <w:rFonts w:cs="Times New Roman" w:ascii="Times New Roman" w:hAnsi="Times New Roman"/>
          <w:b/>
          <w:bCs/>
          <w:i/>
          <w:iCs/>
          <w:sz w:val="24"/>
          <w:szCs w:val="24"/>
        </w:rPr>
        <w:t>Power BI</w:t>
      </w:r>
      <w:r>
        <w:rPr>
          <w:rFonts w:cs="Times New Roman" w:ascii="Times New Roman" w:hAnsi="Times New Roman"/>
          <w:b/>
          <w:bCs/>
          <w:sz w:val="24"/>
          <w:szCs w:val="24"/>
        </w:rPr>
        <w:t xml:space="preserve">, no link: </w:t>
      </w:r>
      <w:hyperlink r:id="rId23">
        <w:r>
          <w:rPr>
            <w:rStyle w:val="LinkdaInternet"/>
            <w:rFonts w:cs="Times New Roman" w:ascii="Times New Roman" w:hAnsi="Times New Roman"/>
            <w:sz w:val="24"/>
            <w:szCs w:val="24"/>
          </w:rPr>
          <w:t>https://app.powerbi.com/view?r=eyJrIjoiYWZmY2VlMzQtNWIyZi00ZDYyLThiZGYtMTZiY2FiNDI2ZTAxIiwidCI6ImU3MzFkM2I4LTVhMmEtNDMxYy04NTM1LWQ4N2U5ZGYzNDNkNCJ9</w:t>
        </w:r>
      </w:hyperlink>
      <w:r>
        <w:rPr>
          <w:rFonts w:cs="Times New Roman" w:ascii="Times New Roman" w:hAnsi="Times New Roman"/>
          <w:sz w:val="24"/>
          <w:szCs w:val="24"/>
        </w:rPr>
        <w:t xml:space="preserve"> </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object>
          <v:shape id="ole_rId24" style="width:444.7pt;height:244.9pt" o:ole="">
            <v:imagedata r:id="rId25" o:title=""/>
          </v:shape>
          <o:OLEObject Type="Embed" ProgID="Paint.Picture" ShapeID="ole_rId24" DrawAspect="Content" ObjectID="_1258597053" r:id="rId24"/>
        </w:object>
        <mc:AlternateContent>
          <mc:Choice Requires="wps">
            <w:drawing>
              <wp:anchor behindDoc="0" distT="30480" distB="20955" distL="13970" distR="0" simplePos="0" locked="0" layoutInCell="1" allowOverlap="1" relativeHeight="2" wp14:anchorId="39D073B1">
                <wp:simplePos x="0" y="0"/>
                <wp:positionH relativeFrom="column">
                  <wp:posOffset>1934210</wp:posOffset>
                </wp:positionH>
                <wp:positionV relativeFrom="paragraph">
                  <wp:posOffset>-247650</wp:posOffset>
                </wp:positionV>
                <wp:extent cx="318770" cy="218440"/>
                <wp:effectExtent l="13970" t="30480" r="0" b="20955"/>
                <wp:wrapNone/>
                <wp:docPr id="1" name="Seta: para a Direita 7"/>
                <a:graphic xmlns:a="http://schemas.openxmlformats.org/drawingml/2006/main">
                  <a:graphicData uri="http://schemas.microsoft.com/office/word/2010/wordprocessingShape">
                    <wps:wsp>
                      <wps:cNvSpPr/>
                      <wps:spPr>
                        <a:xfrm rot="1913400">
                          <a:off x="0" y="0"/>
                          <a:ext cx="318240" cy="217800"/>
                        </a:xfrm>
                        <a:prstGeom prst="rightArrow">
                          <a:avLst>
                            <a:gd name="adj1" fmla="val 50000"/>
                            <a:gd name="adj2" fmla="val 50000"/>
                          </a:avLst>
                        </a:prstGeom>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Seta: para a Direita 7" fillcolor="red" stroked="t" style="position:absolute;margin-left:152.3pt;margin-top:-19.55pt;width:25pt;height:17.1pt;rotation:32" wp14:anchorId="39D073B1" type="shapetype_13">
                <w10:wrap type="none"/>
                <v:fill o:detectmouseclick="t" type="solid" color2="aqua"/>
                <v:stroke color="#325490" weight="12600" joinstyle="miter" endcap="flat"/>
              </v:shape>
            </w:pict>
          </mc:Fallback>
        </mc:AlternateConten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pPr>
      <w:r>
        <w:rPr>
          <w:rFonts w:cs="Times New Roman" w:ascii="Times New Roman" w:hAnsi="Times New Roman"/>
          <w:sz w:val="24"/>
          <w:szCs w:val="24"/>
        </w:rPr>
        <w:t xml:space="preserve">Obs: Ao utilizar o </w:t>
      </w:r>
      <w:r>
        <w:rPr>
          <w:rFonts w:cs="Times New Roman" w:ascii="Times New Roman" w:hAnsi="Times New Roman"/>
          <w:i/>
          <w:iCs/>
          <w:sz w:val="24"/>
          <w:szCs w:val="24"/>
        </w:rPr>
        <w:t>Power BI</w:t>
      </w:r>
      <w:r>
        <w:rPr>
          <w:rFonts w:cs="Times New Roman" w:ascii="Times New Roman" w:hAnsi="Times New Roman"/>
          <w:sz w:val="24"/>
          <w:szCs w:val="24"/>
        </w:rPr>
        <w:t>, utilize os filtros acima para localizar seu curso.</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 DOCUMENTO ORIENTADOR PARA ELABORAÇÃO DE PPCs</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Para subsidiar a construção das propostas de reformulação dos PPCs dos cursos de graduação, a DOP atualizou os documentos orientadores de elaboração de cada item integrante dos projetos, sendo um para as licenciaturas e, outro, para os bacharelados. Nos arquivos constarão uma série de textos explicativos sobre as particularidades e singularidades alinhadas aos perfis formativos de cada curso, sua constituição, pertinência para a sociedade, objetivos, perfil do egresso, configuração da oferta, formas de atendimento das exigências legais, elementos indutores do debate sobre possíveis fragilidades (tais como evasão e retenção) e potencialidades (inserção de atividades de extensão e cultura, e de práticas inovadoras) que embasam a reflexão e justificativa para a reformulação dos projetos.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 xml:space="preserve">O documento orientador de reformulação de PPC dos cursos de bacharelado estará disponível para </w:t>
      </w:r>
      <w:r>
        <w:rPr>
          <w:rFonts w:cs="Times New Roman" w:ascii="Times New Roman" w:hAnsi="Times New Roman"/>
          <w:i/>
          <w:iCs/>
          <w:sz w:val="24"/>
          <w:szCs w:val="24"/>
        </w:rPr>
        <w:t>download</w:t>
      </w:r>
      <w:r>
        <w:rPr>
          <w:rFonts w:cs="Times New Roman" w:ascii="Times New Roman" w:hAnsi="Times New Roman"/>
          <w:sz w:val="24"/>
          <w:szCs w:val="24"/>
        </w:rPr>
        <w:t xml:space="preserve"> a partir do dia 06/04/2022, no link: </w:t>
      </w:r>
    </w:p>
    <w:p>
      <w:pPr>
        <w:pStyle w:val="Normal"/>
        <w:spacing w:lineRule="auto" w:line="240" w:before="0" w:after="0"/>
        <w:jc w:val="both"/>
        <w:rPr/>
      </w:pPr>
      <w:r>
        <w:rPr>
          <w:rStyle w:val="LinkdaInternet"/>
          <w:rFonts w:cs="Times New Roman" w:ascii="Times New Roman" w:hAnsi="Times New Roman"/>
          <w:sz w:val="24"/>
          <w:szCs w:val="24"/>
        </w:rPr>
        <w:t>https://www.uffs.edu.br/institucional/pro-reitorias/graduacao/projetos-pedagogicos/modelos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O documento para elaboração de PPCs dos cursos de licenciaturas será disponibilizado no mesmo link em data futura, após a definição da política de formação inicial e continuada de professores da UFFS, prevista para ser constituída a partir dos trabalhos da II Conferência das Licenciaturas.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pPr>
      <w:r>
        <w:rPr>
          <w:rFonts w:cs="Times New Roman" w:ascii="Times New Roman" w:hAnsi="Times New Roman"/>
          <w:b/>
          <w:bCs/>
          <w:sz w:val="24"/>
          <w:szCs w:val="24"/>
        </w:rPr>
        <w:t>4 ATUALIZAÇÃO DAS BIBLIOGRAFIAS BÁSICAS E COMPLEMENTARES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Diante do processo de reformulação dos PPCs, a DBIB/PROGRAD e Assessorias de Bibliotecas apresentam as seguintes recomendações: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4.1 Importância do uso da Biblioteca Virtual nos PPCs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pPr>
      <w:r>
        <w:rPr>
          <w:rFonts w:cs="Times New Roman" w:ascii="Times New Roman" w:hAnsi="Times New Roman"/>
          <w:sz w:val="24"/>
          <w:szCs w:val="24"/>
        </w:rPr>
        <w:tab/>
        <w:t>Tendo em vista o processo de reformulação dos PPCs, é importante que as bibliografias básicas e complementares passem por um processo de revisão, especialmente no que diz respeito à introdução, nos PPCs, das referências existentes na Biblioteca Virtual (Minha Biblioteca), disponível à comunidade acadêmica da UFFS.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 xml:space="preserve">Para o MEC/INEP, as </w:t>
      </w:r>
      <w:r>
        <w:rPr>
          <w:rFonts w:cs="Times New Roman" w:ascii="Times New Roman" w:hAnsi="Times New Roman"/>
          <w:b/>
          <w:bCs/>
          <w:sz w:val="24"/>
          <w:szCs w:val="24"/>
        </w:rPr>
        <w:t>referências virtuais</w:t>
      </w:r>
      <w:r>
        <w:rPr>
          <w:rFonts w:cs="Times New Roman" w:ascii="Times New Roman" w:hAnsi="Times New Roman"/>
          <w:sz w:val="24"/>
          <w:szCs w:val="24"/>
        </w:rPr>
        <w:t xml:space="preserve"> são aceitas para efeito de avaliação (regulação) e contribuem para flexibilização de consulta e estudo das obras pelos estudantes e docentes, afinal, todos os títulos constantes na </w:t>
      </w:r>
      <w:r>
        <w:rPr>
          <w:rFonts w:cs="Times New Roman" w:ascii="Times New Roman" w:hAnsi="Times New Roman"/>
          <w:b/>
          <w:bCs/>
          <w:sz w:val="24"/>
          <w:szCs w:val="24"/>
        </w:rPr>
        <w:t>Biblioteca Virtual</w:t>
      </w:r>
      <w:r>
        <w:rPr>
          <w:rFonts w:cs="Times New Roman" w:ascii="Times New Roman" w:hAnsi="Times New Roman"/>
          <w:sz w:val="24"/>
          <w:szCs w:val="24"/>
        </w:rPr>
        <w:t xml:space="preserve"> são acessíveis pelos interessados 24h por dia, sete dias por semana, em todos os meios que têm acesso à internet (celular, computador, </w:t>
      </w:r>
      <w:r>
        <w:rPr>
          <w:rFonts w:cs="Times New Roman" w:ascii="Times New Roman" w:hAnsi="Times New Roman"/>
          <w:i/>
          <w:iCs/>
          <w:sz w:val="24"/>
          <w:szCs w:val="24"/>
        </w:rPr>
        <w:t>tablet</w:t>
      </w:r>
      <w:r>
        <w:rPr>
          <w:rFonts w:cs="Times New Roman" w:ascii="Times New Roman" w:hAnsi="Times New Roman"/>
          <w:sz w:val="24"/>
          <w:szCs w:val="24"/>
        </w:rPr>
        <w:t>, etc). Assim, é importante que os GTs/NDEs consultem a Biblioteca Virtual e a insiram nos PPCs, tendo em vista que, muitas das vezes, os títulos das obras físicas estão presentes na Biblioteca Virtual, o que democratiza e amplia seu uso por todos.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 xml:space="preserve">Ao referenciar bibliografias constantes na Biblioteca Virtual, recomenda-se inserir, após a referência, o nome da BV entre parênteses, conforme exemplo: COUTINHO, Andreia Orjana Ribeiro. </w:t>
      </w:r>
      <w:r>
        <w:rPr>
          <w:rFonts w:cs="Times New Roman" w:ascii="Times New Roman" w:hAnsi="Times New Roman"/>
          <w:b/>
          <w:bCs/>
          <w:sz w:val="24"/>
          <w:szCs w:val="24"/>
        </w:rPr>
        <w:t>Anatomia aplicada à enfermagem.</w:t>
      </w:r>
      <w:r>
        <w:rPr>
          <w:rFonts w:cs="Times New Roman" w:ascii="Times New Roman" w:hAnsi="Times New Roman"/>
          <w:sz w:val="24"/>
          <w:szCs w:val="24"/>
        </w:rPr>
        <w:t xml:space="preserve"> Porto Alegre: SAGAH, 2018. (Minha Biblioteca).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O uso da Biblioteca (física e/ou virtual), para a obtenção do conceito 5 (máximo) no processo de reconhecimento de um curso é disciplinado no Instrumento de Avaliação do INEP (2017), do seguinte modo:</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Bibliografia [...] por Unidade Curricular (UC)</w:t>
      </w:r>
    </w:p>
    <w:p>
      <w:pPr>
        <w:pStyle w:val="Normal"/>
        <w:spacing w:lineRule="auto" w:line="240" w:before="0" w:after="0"/>
        <w:jc w:val="both"/>
        <w:rPr>
          <w:rFonts w:ascii="Times New Roman" w:hAnsi="Times New Roman" w:cs="Times New Roman"/>
          <w:sz w:val="24"/>
          <w:szCs w:val="24"/>
        </w:rPr>
      </w:pPr>
      <w:r>
        <w:rPr/>
        <w:object>
          <v:shape id="ole_rId26" style="width:321.1pt;height:262.7pt" o:ole="">
            <v:imagedata r:id="rId27" o:title=""/>
          </v:shape>
          <o:OLEObject Type="Embed" ProgID="Paint.Picture" ShapeID="ole_rId26" DrawAspect="Content" ObjectID="_1879024057" r:id="rId26"/>
        </w:objec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pPr>
      <w:r>
        <w:rPr>
          <w:rFonts w:cs="Times New Roman" w:ascii="Times New Roman" w:hAnsi="Times New Roman"/>
          <w:sz w:val="24"/>
          <w:szCs w:val="24"/>
        </w:rPr>
        <w:t xml:space="preserve">Consulte o Instrumento de Avaliação do INEP (Reconhecimento/Renovação de Reconhecimento aqui: </w:t>
      </w:r>
    </w:p>
    <w:p>
      <w:pPr>
        <w:pStyle w:val="Normal"/>
        <w:spacing w:lineRule="auto" w:line="240" w:before="0" w:after="0"/>
        <w:jc w:val="both"/>
        <w:rPr/>
      </w:pPr>
      <w:hyperlink r:id="rId28">
        <w:r>
          <w:rPr>
            <w:rStyle w:val="LinkdaInternet"/>
            <w:rFonts w:cs="Times New Roman" w:ascii="Times New Roman" w:hAnsi="Times New Roman"/>
            <w:sz w:val="24"/>
            <w:szCs w:val="24"/>
          </w:rPr>
          <w:t>https://download.inep.gov.br/educacao_superior/avaliacao_cursos_graduacao/instrumentos/2017/curso_reconhecimento.pdf</w:t>
        </w:r>
      </w:hyperlink>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sz w:val="24"/>
          <w:szCs w:val="24"/>
        </w:rPr>
      </w:pPr>
      <w:r>
        <w:rPr>
          <w:rFonts w:cs="Times New Roman" w:ascii="Times New Roman" w:hAnsi="Times New Roman"/>
          <w:b/>
          <w:bCs/>
          <w:sz w:val="24"/>
          <w:szCs w:val="24"/>
        </w:rPr>
        <w:t>4.2 Outras recomendações da  DBIB/PROGRAD e Assessorias de Bibliotecas:</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sz w:val="24"/>
          <w:szCs w:val="24"/>
        </w:rPr>
      </w:pPr>
      <w:r>
        <w:rPr>
          <w:rFonts w:cs="Times New Roman" w:ascii="Times New Roman" w:hAnsi="Times New Roman"/>
          <w:sz w:val="24"/>
          <w:szCs w:val="24"/>
        </w:rPr>
        <w:tab/>
        <w:t>São, também, importantes recomendações:</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Standard"/>
        <w:numPr>
          <w:ilvl w:val="0"/>
          <w:numId w:val="9"/>
        </w:numPr>
        <w:jc w:val="both"/>
        <w:rPr/>
      </w:pPr>
      <w:r>
        <w:rPr>
          <w:rFonts w:ascii="Times New Roman" w:hAnsi="Times New Roman"/>
          <w:sz w:val="24"/>
          <w:szCs w:val="24"/>
        </w:rPr>
        <w:t xml:space="preserve">No que se refere à elaboração das referências das obras nos PPCs, considerar as </w:t>
      </w:r>
      <w:r>
        <w:rPr>
          <w:rFonts w:ascii="Times New Roman" w:hAnsi="Times New Roman"/>
          <w:b/>
          <w:sz w:val="24"/>
          <w:szCs w:val="24"/>
        </w:rPr>
        <w:t>normas da ABNT</w:t>
      </w:r>
      <w:r>
        <w:rPr>
          <w:rFonts w:ascii="Times New Roman" w:hAnsi="Times New Roman"/>
          <w:sz w:val="24"/>
          <w:szCs w:val="24"/>
        </w:rPr>
        <w:t xml:space="preserve"> </w:t>
      </w:r>
      <w:r>
        <w:rPr>
          <w:rFonts w:ascii="Times New Roman" w:hAnsi="Times New Roman"/>
          <w:b/>
          <w:sz w:val="24"/>
          <w:szCs w:val="24"/>
        </w:rPr>
        <w:t>vigentes</w:t>
      </w:r>
      <w:r>
        <w:rPr>
          <w:rFonts w:ascii="Times New Roman" w:hAnsi="Times New Roman"/>
          <w:sz w:val="24"/>
          <w:szCs w:val="24"/>
        </w:rPr>
        <w:t xml:space="preserve"> (ver manual da UFFS </w:t>
      </w:r>
      <w:hyperlink r:id="rId29">
        <w:r>
          <w:rPr>
            <w:rStyle w:val="ListLabel84"/>
            <w:rFonts w:ascii="Times New Roman" w:hAnsi="Times New Roman"/>
            <w:color w:val="1155CC"/>
            <w:sz w:val="24"/>
            <w:szCs w:val="24"/>
            <w:u w:val="single"/>
          </w:rPr>
          <w:t>https://www.uffs.edu.br/pastas-ocultas/bd/pro-reitoria-de-graduacao/biblioteca/documentos/arquivo</w:t>
        </w:r>
      </w:hyperlink>
      <w:r>
        <w:rPr>
          <w:rFonts w:ascii="Times New Roman" w:hAnsi="Times New Roman"/>
          <w:sz w:val="24"/>
          <w:szCs w:val="24"/>
        </w:rPr>
        <w:t>). Recomenda-se descrever a autoria em sua forma extensa, não abreviada, para facilitar a identificação das obras e evitar equívocos;</w:t>
      </w:r>
    </w:p>
    <w:p>
      <w:pPr>
        <w:pStyle w:val="Standard"/>
        <w:numPr>
          <w:ilvl w:val="0"/>
          <w:numId w:val="9"/>
        </w:numPr>
        <w:jc w:val="both"/>
        <w:rPr/>
      </w:pPr>
      <w:r>
        <w:rPr>
          <w:rFonts w:ascii="Times New Roman" w:hAnsi="Times New Roman"/>
          <w:sz w:val="24"/>
          <w:szCs w:val="24"/>
        </w:rPr>
        <w:t xml:space="preserve">Racionalidade, </w:t>
      </w:r>
      <w:r>
        <w:rPr>
          <w:rFonts w:ascii="Times New Roman" w:hAnsi="Times New Roman"/>
          <w:b/>
          <w:sz w:val="24"/>
          <w:szCs w:val="24"/>
        </w:rPr>
        <w:t xml:space="preserve">priorizando a indicação de bibliografia conforme acervo existente na Biblioteca do </w:t>
      </w:r>
      <w:r>
        <w:rPr>
          <w:rFonts w:ascii="Times New Roman" w:hAnsi="Times New Roman"/>
          <w:b/>
          <w:i/>
          <w:iCs/>
          <w:sz w:val="24"/>
          <w:szCs w:val="24"/>
        </w:rPr>
        <w:t>Campus</w:t>
      </w:r>
      <w:r>
        <w:rPr>
          <w:rFonts w:ascii="Times New Roman" w:hAnsi="Times New Roman"/>
          <w:sz w:val="24"/>
          <w:szCs w:val="24"/>
        </w:rPr>
        <w:t xml:space="preserve">, preferencialmente, ou em outra Unidade da UFFS. Não esquecer de utilizar a Biblioteca Virtual. A existência das obras nas bibliotecas pode ser consultada no catálogo: </w:t>
      </w:r>
      <w:hyperlink r:id="rId30">
        <w:r>
          <w:rPr>
            <w:rStyle w:val="ListLabel84"/>
            <w:rFonts w:ascii="Times New Roman" w:hAnsi="Times New Roman"/>
            <w:color w:val="1155CC"/>
            <w:sz w:val="24"/>
            <w:szCs w:val="24"/>
            <w:u w:val="single"/>
          </w:rPr>
          <w:t>http://consulta.uffs.edu.br/</w:t>
        </w:r>
      </w:hyperlink>
      <w:r>
        <w:rPr>
          <w:rFonts w:ascii="Times New Roman" w:hAnsi="Times New Roman"/>
          <w:color w:val="1155CC"/>
          <w:sz w:val="24"/>
          <w:szCs w:val="24"/>
          <w:u w:val="single"/>
        </w:rPr>
        <w:t xml:space="preserve"> ;</w:t>
      </w:r>
    </w:p>
    <w:p>
      <w:pPr>
        <w:pStyle w:val="Standard"/>
        <w:numPr>
          <w:ilvl w:val="0"/>
          <w:numId w:val="9"/>
        </w:numPr>
        <w:jc w:val="both"/>
        <w:rPr>
          <w:rFonts w:ascii="Times New Roman" w:hAnsi="Times New Roman"/>
          <w:sz w:val="24"/>
          <w:szCs w:val="24"/>
        </w:rPr>
      </w:pPr>
      <w:r>
        <w:rPr>
          <w:rFonts w:ascii="Times New Roman" w:hAnsi="Times New Roman"/>
          <w:sz w:val="24"/>
          <w:szCs w:val="24"/>
        </w:rPr>
        <w:t>Para as bibliografias básicas, priorizar títulos que tenham uma quantidade maior de exemplares disponíveis na biblioteca;</w:t>
      </w:r>
    </w:p>
    <w:p>
      <w:pPr>
        <w:pStyle w:val="Standard"/>
        <w:numPr>
          <w:ilvl w:val="0"/>
          <w:numId w:val="9"/>
        </w:numPr>
        <w:jc w:val="both"/>
        <w:rPr>
          <w:rFonts w:ascii="Times New Roman" w:hAnsi="Times New Roman"/>
          <w:sz w:val="24"/>
          <w:szCs w:val="24"/>
        </w:rPr>
      </w:pPr>
      <w:r>
        <w:rPr>
          <w:rFonts w:ascii="Times New Roman" w:hAnsi="Times New Roman"/>
          <w:sz w:val="24"/>
          <w:szCs w:val="24"/>
        </w:rPr>
        <w:t>Verificar se existem obras de assunto similar que possam suprir a necessidade da disciplina;</w:t>
      </w:r>
    </w:p>
    <w:p>
      <w:pPr>
        <w:pStyle w:val="Standard"/>
        <w:numPr>
          <w:ilvl w:val="0"/>
          <w:numId w:val="9"/>
        </w:numPr>
        <w:jc w:val="both"/>
        <w:rPr>
          <w:rFonts w:ascii="Times New Roman" w:hAnsi="Times New Roman"/>
          <w:sz w:val="24"/>
          <w:szCs w:val="24"/>
        </w:rPr>
      </w:pPr>
      <w:r>
        <w:rPr>
          <w:rFonts w:ascii="Times New Roman" w:hAnsi="Times New Roman"/>
          <w:sz w:val="24"/>
          <w:szCs w:val="24"/>
        </w:rPr>
        <w:t>Caso as bibliotecas não possuam uma obra que se deseje incluir no PPC, é necessário verificar se a mesma encontra-se disponível para venda no site da editora ou, ainda, na Biblioteca Virtual. A Universidade não consegue adquirir materiais esgotados/usados;</w:t>
      </w:r>
    </w:p>
    <w:p>
      <w:pPr>
        <w:pStyle w:val="Standard"/>
        <w:numPr>
          <w:ilvl w:val="0"/>
          <w:numId w:val="9"/>
        </w:numPr>
        <w:jc w:val="both"/>
        <w:rPr>
          <w:rFonts w:ascii="Times New Roman" w:hAnsi="Times New Roman"/>
          <w:sz w:val="24"/>
          <w:szCs w:val="24"/>
        </w:rPr>
      </w:pPr>
      <w:r>
        <w:rPr>
          <w:rFonts w:ascii="Times New Roman" w:hAnsi="Times New Roman"/>
          <w:sz w:val="24"/>
          <w:szCs w:val="24"/>
        </w:rPr>
        <w:t xml:space="preserve">As listagens devem respeitar as orientações internas da UFFS, de </w:t>
      </w:r>
      <w:r>
        <w:rPr>
          <w:rFonts w:ascii="Times New Roman" w:hAnsi="Times New Roman"/>
          <w:b/>
          <w:sz w:val="24"/>
          <w:szCs w:val="24"/>
        </w:rPr>
        <w:t>no mínimo 3 (três) e no máximo 6 (seis) títulos para bibliografia básica e no mínimo 1 (um) e no máximo 10 (dez) títulos para bibliografia complementar</w:t>
      </w:r>
      <w:r>
        <w:rPr>
          <w:rFonts w:ascii="Times New Roman" w:hAnsi="Times New Roman"/>
          <w:sz w:val="24"/>
          <w:szCs w:val="24"/>
        </w:rPr>
        <w:t>;</w:t>
      </w:r>
    </w:p>
    <w:p>
      <w:pPr>
        <w:pStyle w:val="Standard"/>
        <w:numPr>
          <w:ilvl w:val="0"/>
          <w:numId w:val="9"/>
        </w:numPr>
        <w:jc w:val="both"/>
        <w:rPr>
          <w:rFonts w:ascii="Times New Roman" w:hAnsi="Times New Roman"/>
          <w:sz w:val="24"/>
          <w:szCs w:val="24"/>
        </w:rPr>
      </w:pPr>
      <w:r>
        <w:rPr>
          <w:rFonts w:ascii="Times New Roman" w:hAnsi="Times New Roman"/>
          <w:sz w:val="24"/>
          <w:szCs w:val="24"/>
        </w:rPr>
        <w:t xml:space="preserve">No que se refere ao processo de revisão das referências bibliográficas, realizado pelas Assessorias de Bibliotecas dos </w:t>
      </w:r>
      <w:r>
        <w:rPr>
          <w:rFonts w:ascii="Times New Roman" w:hAnsi="Times New Roman"/>
          <w:i/>
          <w:iCs/>
          <w:sz w:val="24"/>
          <w:szCs w:val="24"/>
        </w:rPr>
        <w:t>campi</w:t>
      </w:r>
      <w:r>
        <w:rPr>
          <w:rFonts w:ascii="Times New Roman" w:hAnsi="Times New Roman"/>
          <w:sz w:val="24"/>
          <w:szCs w:val="24"/>
        </w:rPr>
        <w:t>, trata-se de um trabalho que priorizará a coerência com as informações listadas neste ofício circular. Além disso, as observações feitas pelas Assessorias de Bibliotecas devem se manter no PPC (em formato editável) para posterior envio à DOP;</w:t>
      </w:r>
    </w:p>
    <w:p>
      <w:pPr>
        <w:pStyle w:val="Standard"/>
        <w:numPr>
          <w:ilvl w:val="0"/>
          <w:numId w:val="9"/>
        </w:numPr>
        <w:jc w:val="both"/>
        <w:rPr>
          <w:rFonts w:ascii="Times New Roman" w:hAnsi="Times New Roman"/>
          <w:sz w:val="24"/>
          <w:szCs w:val="24"/>
        </w:rPr>
      </w:pPr>
      <w:r>
        <w:rPr>
          <w:rFonts w:ascii="Times New Roman" w:hAnsi="Times New Roman"/>
          <w:sz w:val="24"/>
          <w:szCs w:val="24"/>
        </w:rPr>
        <w:t>Considerando que está prevista a atualização dos PPCs de todos os cursos de graduação da UFFS e também que a atividade de revisão das referências bibliográficas é realizada exclusivamente por bibliotecários, o prazo para a conclusão da revisão, de cada PPC, por parte das bibliotecas é de até 2 (duas) semanas;</w:t>
      </w:r>
    </w:p>
    <w:p>
      <w:pPr>
        <w:pStyle w:val="Standard"/>
        <w:numPr>
          <w:ilvl w:val="0"/>
          <w:numId w:val="9"/>
        </w:numPr>
        <w:jc w:val="both"/>
        <w:rPr>
          <w:rFonts w:ascii="Times New Roman" w:hAnsi="Times New Roman"/>
          <w:sz w:val="24"/>
          <w:szCs w:val="24"/>
        </w:rPr>
      </w:pPr>
      <w:r>
        <w:rPr>
          <w:rFonts w:ascii="Times New Roman" w:hAnsi="Times New Roman"/>
          <w:sz w:val="24"/>
          <w:szCs w:val="24"/>
        </w:rPr>
        <w:t>Salientamos que essa revisão é fundamental para que o curso não seja prejudicado com relação às notas nos processos de avaliação dos cursos (MEC), visto que a Biblioteca é avaliada pelas obras que possui dos PPCs.</w:t>
      </w:r>
    </w:p>
    <w:p>
      <w:pPr>
        <w:pStyle w:val="Standard"/>
        <w:jc w:val="both"/>
        <w:rPr>
          <w:rFonts w:ascii="Times New Roman" w:hAnsi="Times New Roman"/>
          <w:sz w:val="24"/>
          <w:szCs w:val="24"/>
        </w:rPr>
      </w:pPr>
      <w:r>
        <w:rPr>
          <w:rFonts w:ascii="Times New Roman" w:hAnsi="Times New Roman"/>
          <w:sz w:val="24"/>
          <w:szCs w:val="24"/>
        </w:rPr>
      </w:r>
    </w:p>
    <w:p>
      <w:pPr>
        <w:pStyle w:val="Standard"/>
        <w:ind w:firstLine="708"/>
        <w:jc w:val="both"/>
        <w:rPr>
          <w:rFonts w:ascii="Times New Roman" w:hAnsi="Times New Roman"/>
          <w:sz w:val="24"/>
          <w:szCs w:val="24"/>
        </w:rPr>
      </w:pPr>
      <w:r>
        <w:rPr>
          <w:rFonts w:ascii="Times New Roman" w:hAnsi="Times New Roman"/>
          <w:sz w:val="24"/>
          <w:szCs w:val="24"/>
        </w:rPr>
        <w:t>Por fim, as equipes das Bibliotecas estão à disposição para auxiliar com dúvidas referentes às bibliografias durante o processo de atualização dos PPCs, bem como têm condições de disponibilizar relatórios pertinentes aos cursos e às disciplinas.</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sz w:val="24"/>
          <w:szCs w:val="24"/>
        </w:rPr>
      </w:pPr>
      <w:r>
        <w:rPr>
          <w:rFonts w:cs="Times New Roman" w:ascii="Times New Roman" w:hAnsi="Times New Roman"/>
          <w:sz w:val="24"/>
          <w:szCs w:val="24"/>
        </w:rPr>
        <w:tab/>
        <w:t>Em caso de dúvidas, a Prograd se coloca à disposição.</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8"/>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8"/>
        <w:jc w:val="both"/>
        <w:rPr>
          <w:rFonts w:ascii="Times New Roman" w:hAnsi="Times New Roman"/>
          <w:sz w:val="24"/>
          <w:szCs w:val="24"/>
        </w:rPr>
      </w:pPr>
      <w:r>
        <w:rPr>
          <w:rFonts w:cs="Times New Roman" w:ascii="Times New Roman" w:hAnsi="Times New Roman"/>
          <w:sz w:val="24"/>
          <w:szCs w:val="24"/>
        </w:rPr>
        <w:t xml:space="preserve">Atenciosamente,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sz w:val="24"/>
          <w:szCs w:val="24"/>
        </w:rPr>
      </w:pPr>
      <w:r>
        <w:rPr>
          <w:rFonts w:cs="Times New Roman" w:ascii="Times New Roman" w:hAnsi="Times New Roman"/>
          <w:sz w:val="24"/>
          <w:szCs w:val="24"/>
        </w:rPr>
        <w:t xml:space="preserve">JEFERSON SACCOL FERREIRA            </w:t>
      </w:r>
    </w:p>
    <w:p>
      <w:pPr>
        <w:pStyle w:val="Normal"/>
        <w:spacing w:lineRule="auto" w:line="240" w:before="0" w:after="0"/>
        <w:jc w:val="center"/>
        <w:rPr>
          <w:rFonts w:ascii="Times New Roman" w:hAnsi="Times New Roman"/>
          <w:sz w:val="24"/>
          <w:szCs w:val="24"/>
        </w:rPr>
      </w:pPr>
      <w:r>
        <w:rPr>
          <w:rFonts w:cs="Times New Roman" w:ascii="Times New Roman" w:hAnsi="Times New Roman"/>
          <w:sz w:val="24"/>
          <w:szCs w:val="24"/>
        </w:rPr>
        <w:t>Pró-Reitor de Graduação</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pPr>
      <w:r>
        <w:rPr>
          <w:rFonts w:cs="Times New Roman" w:ascii="Times New Roman" w:hAnsi="Times New Roman"/>
          <w:b/>
          <w:bCs/>
          <w:sz w:val="24"/>
          <w:szCs w:val="24"/>
        </w:rPr>
        <w:t xml:space="preserve">ANEXO – Minuta de Ofício </w:t>
      </w:r>
    </w:p>
    <w:p>
      <w:pPr>
        <w:pStyle w:val="Normal"/>
        <w:spacing w:lineRule="auto" w:line="240" w:before="0" w:after="0"/>
        <w:jc w:val="center"/>
        <w:rPr>
          <w:b/>
          <w:b/>
          <w:bCs/>
        </w:rPr>
      </w:pPr>
      <w:r>
        <w:rPr>
          <w:rFonts w:cs="Times New Roman" w:ascii="Times New Roman" w:hAnsi="Times New Roman"/>
          <w:b/>
          <w:bCs/>
          <w:sz w:val="24"/>
          <w:szCs w:val="24"/>
        </w:rPr>
        <w:t xml:space="preserve">Autuar o ofício em Processo </w:t>
      </w:r>
      <w:r>
        <w:rPr>
          <w:rFonts w:cs="Times New Roman" w:ascii="Times New Roman" w:hAnsi="Times New Roman"/>
          <w:b/>
          <w:bCs/>
          <w:color w:val="000000"/>
          <w:sz w:val="24"/>
          <w:szCs w:val="24"/>
        </w:rPr>
        <w:t>SIPAC – Mesa Virtual (informações de cadastro constam  abaixo)</w:t>
      </w:r>
    </w:p>
    <w:p>
      <w:pPr>
        <w:pStyle w:val="LONormal"/>
        <w:jc w:val="center"/>
        <w:rPr>
          <w:rFonts w:ascii="Times New Roman" w:hAnsi="Times New Roman" w:cs="Times New Roman"/>
          <w:sz w:val="24"/>
          <w:szCs w:val="24"/>
        </w:rPr>
      </w:pPr>
      <w:r>
        <w:rPr>
          <w:rFonts w:cs="Times New Roman" w:ascii="Times New Roman" w:hAnsi="Times New Roman"/>
          <w:sz w:val="24"/>
          <w:szCs w:val="24"/>
        </w:rPr>
      </w:r>
    </w:p>
    <w:p>
      <w:pPr>
        <w:pStyle w:val="LONormal"/>
        <w:rPr>
          <w:rFonts w:ascii="Times New Roman" w:hAnsi="Times New Roman" w:cs="Times New Roman"/>
          <w:sz w:val="24"/>
          <w:szCs w:val="24"/>
        </w:rPr>
      </w:pPr>
      <w:r>
        <w:rPr>
          <w:rFonts w:cs="Times New Roman" w:ascii="Times New Roman" w:hAnsi="Times New Roman"/>
          <w:sz w:val="24"/>
          <w:szCs w:val="24"/>
        </w:rPr>
      </w:r>
    </w:p>
    <w:p>
      <w:pPr>
        <w:pStyle w:val="LONormal"/>
        <w:rPr/>
      </w:pPr>
      <w:r>
        <w:rPr>
          <w:rFonts w:cs="Times New Roman" w:ascii="Times New Roman" w:hAnsi="Times New Roman"/>
          <w:sz w:val="24"/>
          <w:szCs w:val="24"/>
        </w:rPr>
        <w:t>Ofício nº xx/2022-xxxx</w:t>
      </w:r>
    </w:p>
    <w:p>
      <w:pPr>
        <w:pStyle w:val="LONormal"/>
        <w:tabs>
          <w:tab w:val="left" w:pos="1545" w:leader="none"/>
          <w:tab w:val="right" w:pos="9071" w:leader="none"/>
        </w:tabs>
        <w:spacing w:lineRule="auto" w:line="240"/>
        <w:rPr>
          <w:color w:val="FF0000"/>
          <w:sz w:val="32"/>
          <w:szCs w:val="32"/>
        </w:rPr>
      </w:pPr>
      <w:r>
        <w:rPr>
          <w:rFonts w:cs="Times New Roman" w:ascii="Times New Roman" w:hAnsi="Times New Roman"/>
          <w:b/>
          <w:bCs/>
          <w:sz w:val="24"/>
          <w:szCs w:val="24"/>
        </w:rPr>
        <w:tab/>
        <w:tab/>
      </w:r>
    </w:p>
    <w:p>
      <w:pPr>
        <w:pStyle w:val="LONormal"/>
        <w:tabs>
          <w:tab w:val="left" w:pos="1545" w:leader="none"/>
          <w:tab w:val="right" w:pos="9071" w:leader="none"/>
        </w:tabs>
        <w:spacing w:lineRule="auto" w:line="240"/>
        <w:jc w:val="right"/>
        <w:rPr>
          <w:color w:val="FF0000"/>
          <w:sz w:val="32"/>
          <w:szCs w:val="32"/>
        </w:rPr>
      </w:pPr>
      <w:r>
        <w:rPr>
          <w:rFonts w:cs="Times New Roman" w:ascii="Times New Roman" w:hAnsi="Times New Roman"/>
          <w:sz w:val="24"/>
          <w:szCs w:val="24"/>
        </w:rPr>
        <w:t>Chapecó-SC, xx de xx de 2022.</w:t>
      </w:r>
    </w:p>
    <w:p>
      <w:pPr>
        <w:pStyle w:val="Normal"/>
        <w:rPr/>
      </w:pPr>
      <w:r>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À Diretora de Organização Pedagógica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Universidade Federal da Fronteira Sul – UFFS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 xml:space="preserve">Assunto: </w:t>
      </w:r>
      <w:r>
        <w:rPr>
          <w:rFonts w:cs="Times New Roman" w:ascii="Times New Roman" w:hAnsi="Times New Roman"/>
          <w:sz w:val="24"/>
          <w:szCs w:val="24"/>
        </w:rPr>
        <w:t>Apresentação de justificativa quanto à impossibilidade de cumprimento de cronograma para reformulação do PPC do curso xxxx.</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Senhora,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 xml:space="preserve">O Curso de Graduação em xxx, Campus xxx, reunido em xx, deliberou por apresentar justificativa </w:t>
      </w:r>
      <w:r>
        <w:rPr>
          <w:rFonts w:cs="Times New Roman" w:ascii="Times New Roman" w:hAnsi="Times New Roman"/>
          <w:color w:val="000000" w:themeColor="text1"/>
          <w:sz w:val="24"/>
          <w:szCs w:val="24"/>
        </w:rPr>
        <w:t xml:space="preserve">em relação à impossibilidade de cumprimento do cronograma de reformulação do PPC, para todos os efeitos legais e normativos, </w:t>
      </w:r>
      <w:r>
        <w:rPr>
          <w:rFonts w:cs="Times New Roman" w:ascii="Times New Roman" w:hAnsi="Times New Roman"/>
          <w:sz w:val="24"/>
          <w:szCs w:val="24"/>
        </w:rPr>
        <w:t xml:space="preserve">nos termos que seguem: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color w:val="FF0000"/>
          <w:sz w:val="24"/>
          <w:szCs w:val="24"/>
        </w:rPr>
      </w:pPr>
      <w:r>
        <w:rPr>
          <w:rFonts w:cs="Times New Roman" w:ascii="Times New Roman" w:hAnsi="Times New Roman"/>
          <w:color w:val="FF0000"/>
          <w:sz w:val="24"/>
          <w:szCs w:val="24"/>
        </w:rPr>
        <w:t>Observação: Apenas marcar “X” na(s) opção(es) escolhidas:</w:t>
      </w:r>
    </w:p>
    <w:tbl>
      <w:tblPr>
        <w:tblStyle w:val="Tabelacomgrade"/>
        <w:tblW w:w="9250" w:type="dxa"/>
        <w:jc w:val="left"/>
        <w:tblInd w:w="-56" w:type="dxa"/>
        <w:tblCellMar>
          <w:top w:w="0" w:type="dxa"/>
          <w:left w:w="108" w:type="dxa"/>
          <w:bottom w:w="0" w:type="dxa"/>
          <w:right w:w="108" w:type="dxa"/>
        </w:tblCellMar>
        <w:tblLook w:firstRow="1" w:noVBand="1" w:lastRow="0" w:firstColumn="1" w:lastColumn="0" w:noHBand="0" w:val="04a0"/>
      </w:tblPr>
      <w:tblGrid>
        <w:gridCol w:w="613"/>
        <w:gridCol w:w="8636"/>
      </w:tblGrid>
      <w:tr>
        <w:trPr/>
        <w:tc>
          <w:tcPr>
            <w:tcW w:w="613"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r>
          </w:p>
        </w:tc>
        <w:tc>
          <w:tcPr>
            <w:tcW w:w="8636"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b/>
                <w:b/>
                <w:bCs/>
                <w:color w:val="000000" w:themeColor="text1"/>
                <w:sz w:val="20"/>
                <w:szCs w:val="20"/>
              </w:rPr>
            </w:pPr>
            <w:r>
              <w:rPr>
                <w:rFonts w:eastAsia="Calibri" w:cs="Times New Roman" w:ascii="Times New Roman" w:hAnsi="Times New Roman"/>
                <w:b/>
                <w:bCs/>
                <w:color w:val="000000" w:themeColor="text1"/>
                <w:kern w:val="0"/>
                <w:sz w:val="20"/>
                <w:szCs w:val="20"/>
                <w:lang w:val="pt-BR" w:bidi="ar-SA"/>
              </w:rPr>
              <w:t>Justificativa em relação ao cronograma</w:t>
            </w:r>
          </w:p>
        </w:tc>
      </w:tr>
      <w:tr>
        <w:trPr/>
        <w:tc>
          <w:tcPr>
            <w:tcW w:w="613"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    )</w:t>
            </w:r>
          </w:p>
        </w:tc>
        <w:tc>
          <w:tcPr>
            <w:tcW w:w="8636"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Prazos para debates, reflexões e discussões insuficientes (GT, Colegiado/NDE);</w:t>
            </w:r>
          </w:p>
        </w:tc>
      </w:tr>
      <w:tr>
        <w:trPr/>
        <w:tc>
          <w:tcPr>
            <w:tcW w:w="613"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    )</w:t>
            </w:r>
          </w:p>
        </w:tc>
        <w:tc>
          <w:tcPr>
            <w:tcW w:w="8636"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Necessidade de aguardar a conclusão/execução dos módulos formativos ofertados pela Prograd;</w:t>
            </w:r>
          </w:p>
        </w:tc>
      </w:tr>
      <w:tr>
        <w:trPr/>
        <w:tc>
          <w:tcPr>
            <w:tcW w:w="613"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    )</w:t>
            </w:r>
          </w:p>
        </w:tc>
        <w:tc>
          <w:tcPr>
            <w:tcW w:w="8636"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Necessidade de aprovação/atualização da Política de Formação de Professores da UFFS (discussão pela II Conferência das Licenciaturas e aprovações dos órgãos colegiados (item exclusivo para as licenciaturas);</w:t>
            </w:r>
          </w:p>
        </w:tc>
      </w:tr>
      <w:tr>
        <w:trPr/>
        <w:tc>
          <w:tcPr>
            <w:tcW w:w="613"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    )</w:t>
            </w:r>
          </w:p>
        </w:tc>
        <w:tc>
          <w:tcPr>
            <w:tcW w:w="8636"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Necessidade de mais prazo para que o curso discuta outros elementos do PPC;</w:t>
            </w:r>
          </w:p>
        </w:tc>
      </w:tr>
      <w:tr>
        <w:trPr/>
        <w:tc>
          <w:tcPr>
            <w:tcW w:w="613"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    )</w:t>
            </w:r>
          </w:p>
        </w:tc>
        <w:tc>
          <w:tcPr>
            <w:tcW w:w="8636"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Outras? Quais:</w:t>
            </w:r>
          </w:p>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r>
          </w:p>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r>
          </w:p>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r>
          </w:p>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r>
          </w:p>
        </w:tc>
      </w:tr>
      <w:tr>
        <w:trPr/>
        <w:tc>
          <w:tcPr>
            <w:tcW w:w="9249" w:type="dxa"/>
            <w:gridSpan w:val="2"/>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 xml:space="preserve">Prazo solicitado pelo curso para envio do PPC à DOP até:_____/_____/____. </w:t>
            </w:r>
          </w:p>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b/>
                <w:bCs/>
                <w:color w:val="FF0000"/>
                <w:kern w:val="0"/>
                <w:sz w:val="20"/>
                <w:szCs w:val="20"/>
                <w:lang w:val="pt-BR" w:bidi="ar-SA"/>
              </w:rPr>
              <w:t>(obs.: prazo máximo de envio do PPC à DOP até 19/07/2023)</w:t>
            </w:r>
          </w:p>
        </w:tc>
      </w:tr>
    </w:tbl>
    <w:p>
      <w:pPr>
        <w:pStyle w:val="Normal"/>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r>
    </w:p>
    <w:p>
      <w:pPr>
        <w:pStyle w:val="Normal"/>
        <w:spacing w:lineRule="auto" w:line="240" w:before="0" w:after="0"/>
        <w:jc w:val="both"/>
        <w:rPr>
          <w:rFonts w:ascii="Times New Roman" w:hAnsi="Times New Roman" w:cs="Times New Roman"/>
          <w:color w:val="FF0000"/>
          <w:sz w:val="24"/>
          <w:szCs w:val="24"/>
        </w:rPr>
      </w:pPr>
      <w:r>
        <w:rPr>
          <w:rFonts w:cs="Times New Roman" w:ascii="Times New Roman" w:hAnsi="Times New Roman"/>
          <w:color w:val="FF0000"/>
          <w:sz w:val="24"/>
          <w:szCs w:val="24"/>
        </w:rPr>
        <w:t>Obs: Apenas marcar “X” a opção escolhida:</w:t>
      </w:r>
    </w:p>
    <w:tbl>
      <w:tblPr>
        <w:tblStyle w:val="Tabelacomgrade"/>
        <w:tblW w:w="9188" w:type="dxa"/>
        <w:jc w:val="left"/>
        <w:tblInd w:w="0" w:type="dxa"/>
        <w:tblCellMar>
          <w:top w:w="0" w:type="dxa"/>
          <w:left w:w="108" w:type="dxa"/>
          <w:bottom w:w="0" w:type="dxa"/>
          <w:right w:w="108" w:type="dxa"/>
        </w:tblCellMar>
        <w:tblLook w:firstRow="1" w:noVBand="1" w:lastRow="0" w:firstColumn="1" w:lastColumn="0" w:noHBand="0" w:val="04a0"/>
      </w:tblPr>
      <w:tblGrid>
        <w:gridCol w:w="562"/>
        <w:gridCol w:w="8625"/>
      </w:tblGrid>
      <w:tr>
        <w:trPr/>
        <w:tc>
          <w:tcPr>
            <w:tcW w:w="562"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r>
          </w:p>
        </w:tc>
        <w:tc>
          <w:tcPr>
            <w:tcW w:w="8625"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color w:val="000000" w:themeColor="text1"/>
                <w:kern w:val="0"/>
                <w:sz w:val="20"/>
                <w:szCs w:val="20"/>
                <w:lang w:val="pt-BR" w:bidi="ar-SA"/>
              </w:rPr>
              <w:t xml:space="preserve">Procedimentos do curso em relação ao ingresso de novos estudantes em 2023 </w:t>
            </w:r>
            <w:r>
              <w:rPr>
                <w:rFonts w:eastAsia="Calibri" w:cs="Times New Roman" w:ascii="Times New Roman" w:hAnsi="Times New Roman"/>
                <w:b/>
                <w:bCs/>
                <w:kern w:val="0"/>
                <w:sz w:val="20"/>
                <w:szCs w:val="20"/>
                <w:lang w:val="pt-BR" w:bidi="ar-SA"/>
              </w:rPr>
              <w:t xml:space="preserve">DCNs. </w:t>
            </w:r>
          </w:p>
          <w:p>
            <w:pPr>
              <w:pStyle w:val="Normal"/>
              <w:widowControl w:val="false"/>
              <w:suppressAutoHyphens w:val="true"/>
              <w:spacing w:lineRule="auto" w:line="240" w:before="0" w:after="0"/>
              <w:jc w:val="both"/>
              <w:rPr>
                <w:rFonts w:ascii="Times New Roman" w:hAnsi="Times New Roman" w:cs="Times New Roman"/>
                <w:b/>
                <w:b/>
                <w:bCs/>
                <w:sz w:val="20"/>
                <w:szCs w:val="20"/>
              </w:rPr>
            </w:pPr>
            <w:r>
              <w:rPr>
                <w:rFonts w:cs="Times New Roman" w:ascii="Times New Roman" w:hAnsi="Times New Roman"/>
                <w:b/>
                <w:bCs/>
                <w:sz w:val="20"/>
                <w:szCs w:val="20"/>
              </w:rPr>
            </w:r>
          </w:p>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kern w:val="0"/>
                <w:sz w:val="20"/>
                <w:szCs w:val="20"/>
                <w:lang w:val="pt-BR" w:bidi="ar-SA"/>
              </w:rPr>
              <w:t>Obs: Esta justificativa se faz necessária para a hipótese da Res 7/2018 – extensão e/ou da Res 2/2019 – licenciaturas, não terem seus prazos dilatados pelo MEC/CNE. Caso sejam os prazos dilatados, a mesma perde o efeito.</w:t>
            </w:r>
          </w:p>
        </w:tc>
      </w:tr>
      <w:tr>
        <w:trPr/>
        <w:tc>
          <w:tcPr>
            <w:tcW w:w="9187" w:type="dxa"/>
            <w:gridSpan w:val="2"/>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Para atender ao ingresso dos estudantes no curso em 2023, o curso pretende:</w:t>
            </w:r>
          </w:p>
        </w:tc>
      </w:tr>
      <w:tr>
        <w:trPr/>
        <w:tc>
          <w:tcPr>
            <w:tcW w:w="562"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    )</w:t>
            </w:r>
          </w:p>
        </w:tc>
        <w:tc>
          <w:tcPr>
            <w:tcW w:w="8625"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 xml:space="preserve">Garantir a equivalência de CCRs em relação ao novo PPC, aos ingressantes relativos ao ano de 2023. </w:t>
            </w:r>
            <w:r>
              <w:rPr>
                <w:rFonts w:eastAsia="Calibri" w:cs="Times New Roman" w:ascii="Times New Roman" w:hAnsi="Times New Roman"/>
                <w:b/>
                <w:bCs/>
                <w:color w:val="000000" w:themeColor="text1"/>
                <w:kern w:val="0"/>
                <w:sz w:val="20"/>
                <w:szCs w:val="20"/>
                <w:lang w:val="pt-BR" w:bidi="ar-SA"/>
              </w:rPr>
              <w:t>(obrigatório)</w:t>
            </w:r>
          </w:p>
        </w:tc>
      </w:tr>
      <w:tr>
        <w:trPr/>
        <w:tc>
          <w:tcPr>
            <w:tcW w:w="562"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    )</w:t>
            </w:r>
          </w:p>
        </w:tc>
        <w:tc>
          <w:tcPr>
            <w:tcW w:w="8625" w:type="dxa"/>
            <w:tcBorders/>
            <w:shd w:color="auto" w:fill="F2F2F2" w:themeFill="background1" w:themeFillShade="f2" w:val="clear"/>
          </w:tcPr>
          <w:p>
            <w:pPr>
              <w:pStyle w:val="Normal"/>
              <w:widowControl w:val="false"/>
              <w:suppressAutoHyphens w:val="true"/>
              <w:spacing w:lineRule="auto" w:line="240" w:before="0" w:after="0"/>
              <w:jc w:val="both"/>
              <w:rPr>
                <w:rFonts w:ascii="Times New Roman" w:hAnsi="Times New Roman" w:cs="Times New Roman"/>
                <w:color w:val="000000" w:themeColor="text1"/>
                <w:sz w:val="20"/>
                <w:szCs w:val="20"/>
              </w:rPr>
            </w:pPr>
            <w:r>
              <w:rPr>
                <w:rFonts w:eastAsia="Calibri" w:cs="Times New Roman" w:ascii="Times New Roman" w:hAnsi="Times New Roman"/>
                <w:color w:val="000000" w:themeColor="text1"/>
                <w:kern w:val="0"/>
                <w:sz w:val="20"/>
                <w:szCs w:val="20"/>
                <w:lang w:val="pt-BR" w:bidi="ar-SA"/>
              </w:rPr>
              <w:t xml:space="preserve">Outra </w:t>
            </w:r>
          </w:p>
        </w:tc>
      </w:tr>
    </w:tbl>
    <w:p>
      <w:pPr>
        <w:pStyle w:val="Normal"/>
        <w:spacing w:lineRule="auto" w:line="240" w:before="0" w:after="0"/>
        <w:jc w:val="both"/>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spacing w:lineRule="auto" w:line="240" w:before="0" w:after="0"/>
        <w:jc w:val="both"/>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Atenciosamente,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XXXX</w:t>
      </w:r>
    </w:p>
    <w:p>
      <w:pPr>
        <w:pStyle w:val="Normal"/>
        <w:spacing w:lineRule="auto" w:line="240"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Coordenador do curso</w:t>
      </w:r>
    </w:p>
    <w:p>
      <w:pPr>
        <w:pStyle w:val="Normal"/>
        <w:spacing w:lineRule="auto" w:line="240"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tbl>
      <w:tblPr>
        <w:tblW w:w="5000" w:type="pct"/>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0" w:type="dxa"/>
          <w:bottom w:w="55" w:type="dxa"/>
          <w:right w:w="55" w:type="dxa"/>
        </w:tblCellMar>
        <w:tblLook w:firstRow="1" w:noVBand="1" w:lastRow="0" w:firstColumn="1" w:lastColumn="0" w:noHBand="0" w:val="04a0"/>
      </w:tblPr>
      <w:tblGrid>
        <w:gridCol w:w="9075"/>
      </w:tblGrid>
      <w:tr>
        <w:trPr/>
        <w:tc>
          <w:tcPr>
            <w:tcW w:w="90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rPr>
                <w:b/>
                <w:b/>
                <w:bCs/>
                <w:sz w:val="20"/>
                <w:szCs w:val="20"/>
              </w:rPr>
            </w:pPr>
            <w:r>
              <w:rPr>
                <w:b/>
                <w:bCs/>
                <w:sz w:val="20"/>
                <w:szCs w:val="20"/>
              </w:rPr>
            </w:r>
          </w:p>
          <w:p>
            <w:pPr>
              <w:pStyle w:val="Normal"/>
              <w:widowControl w:val="false"/>
              <w:spacing w:lineRule="auto" w:line="240" w:before="0" w:after="0"/>
              <w:jc w:val="center"/>
              <w:rPr>
                <w:rFonts w:ascii="Times New Roman" w:hAnsi="Times New Roman" w:cs="Times New Roman"/>
                <w:color w:val="000000"/>
                <w:sz w:val="24"/>
                <w:szCs w:val="24"/>
              </w:rPr>
            </w:pPr>
            <w:r>
              <w:rPr>
                <w:rFonts w:cs="Times New Roman" w:ascii="Times New Roman" w:hAnsi="Times New Roman"/>
                <w:b/>
                <w:bCs/>
                <w:color w:val="000000"/>
                <w:sz w:val="20"/>
                <w:szCs w:val="20"/>
              </w:rPr>
              <w:t>Orientações para cadastro da justificativa reformulação de PPCs no SIPAC – Mesa Virtual</w:t>
            </w:r>
          </w:p>
          <w:p>
            <w:pPr>
              <w:pStyle w:val="Normal"/>
              <w:widowControl w:val="false"/>
              <w:spacing w:lineRule="auto" w:line="240" w:before="0" w:after="0"/>
              <w:rPr>
                <w:b/>
                <w:b/>
                <w:bCs/>
                <w:sz w:val="20"/>
                <w:szCs w:val="20"/>
              </w:rPr>
            </w:pPr>
            <w:r>
              <w:rPr>
                <w:b/>
                <w:bCs/>
                <w:sz w:val="20"/>
                <w:szCs w:val="20"/>
              </w:rPr>
            </w:r>
          </w:p>
          <w:p>
            <w:pPr>
              <w:pStyle w:val="Normal"/>
              <w:widowControl w:val="false"/>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0"/>
                <w:szCs w:val="20"/>
              </w:rPr>
              <w:t xml:space="preserve">&gt;Processos </w:t>
              <w:br/>
              <w:t>&gt;Abrir processos</w:t>
              <w:br/>
              <w:t>Tipo de processo: “GRADUAÇÃO: REFORMULAÇÃO CURRICULAR - 122.2”</w:t>
              <w:br/>
              <w:t>Assunto do Processo: 122.2 - (GRADUAÇÃO) ORGANIZAÇÃO CURRICULAR - REFORMULAÇÃO CURRICULAR</w:t>
              <w:br/>
              <w:t xml:space="preserve">Assunto detalhado: Justificativa sobre proposta de Reformulação do Projeto Pedagógico do curso xxxxxxxxx campus xxx </w:t>
              <w:br/>
              <w:t>Natureza do processo: ostensivo</w:t>
              <w:br/>
              <w:t>Dados do interessado: (nome da coordenação de curso)</w:t>
              <w:br/>
              <w:t>Categoria: Servidor</w:t>
              <w:br/>
              <w:t>Servidor: Coordenador(a) do curso</w:t>
              <w:br/>
              <w:t>Notificar interessado: Não</w:t>
              <w:br/>
              <w:t>&lt;Finalizar&gt;</w:t>
              <w:br/>
              <w:t xml:space="preserve">Anexar Documento: </w:t>
              <w:br/>
              <w:t>Tipo do Documento: Ofício</w:t>
              <w:br/>
              <w:t>Natureza do Documento: Ostensivo</w:t>
              <w:br/>
              <w:t xml:space="preserve">Assunto detalhado: Justificativa sobre proposta de Reformulação do Projeto Pedagógico do curso  xxxxxxxxx campus xxx </w:t>
              <w:br/>
            </w:r>
            <w:r>
              <w:rPr>
                <w:rStyle w:val="Nfaseforte"/>
                <w:rFonts w:cs="Times New Roman" w:ascii="Times New Roman" w:hAnsi="Times New Roman"/>
                <w:color w:val="000000"/>
                <w:sz w:val="20"/>
                <w:szCs w:val="20"/>
              </w:rPr>
              <w:t xml:space="preserve">Escrever o Ofício seguindo minuta do Anexo I, do presente Ofício Circular. </w:t>
            </w:r>
            <w:r>
              <w:rPr>
                <w:rFonts w:cs="Times New Roman" w:ascii="Times New Roman" w:hAnsi="Times New Roman"/>
                <w:color w:val="000000"/>
                <w:sz w:val="20"/>
                <w:szCs w:val="20"/>
              </w:rPr>
              <w:br/>
              <w:t>&lt;Adicionar documento&gt;</w:t>
              <w:br/>
              <w:t>Adicionar assinante: Coordenação de Curso</w:t>
              <w:br/>
              <w:t>&lt;Finalizar&gt;</w:t>
              <w:br/>
              <w:t>Enviar processo para</w:t>
              <w:br/>
              <w:t>Unidade de Destino: 10.50.06 - DIRETORIA DE ORGANIZAÇÃO PEDAGÓGICA (10.50.06)</w:t>
              <w:br/>
              <w:t xml:space="preserve">&lt;Enviar&gt; </w:t>
            </w:r>
          </w:p>
        </w:tc>
      </w:tr>
    </w:tbl>
    <w:p>
      <w:pPr>
        <w:pStyle w:val="Normal"/>
        <w:spacing w:lineRule="auto" w:line="240" w:before="0" w:after="0"/>
        <w:jc w:val="both"/>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spacing w:lineRule="auto" w:line="240" w:before="0" w:after="0"/>
        <w:jc w:val="both"/>
        <w:rPr/>
      </w:pPr>
      <w:r>
        <w:rPr/>
      </w:r>
    </w:p>
    <w:sectPr>
      <w:headerReference w:type="default" r:id="rId31"/>
      <w:footerReference w:type="default" r:id="rId32"/>
      <w:type w:val="nextPage"/>
      <w:pgSz w:w="11906" w:h="16838"/>
      <w:pgMar w:left="1701" w:right="1130" w:header="532" w:top="3368" w:footer="708" w:bottom="1417"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07235502"/>
    </w:sdtPr>
    <w:sdtContent>
      <w:p>
        <w:pPr>
          <w:pStyle w:val="Rodap"/>
          <w:jc w:val="right"/>
          <w:rPr/>
        </w:pPr>
        <w:r>
          <w:rPr>
            <w:rFonts w:cs="Times New Roman" w:ascii="Times New Roman" w:hAnsi="Times New Roman"/>
            <w:sz w:val="24"/>
            <w:szCs w:val="24"/>
          </w:rPr>
          <w:fldChar w:fldCharType="begin"/>
        </w:r>
        <w:r>
          <w:rPr>
            <w:sz w:val="24"/>
            <w:szCs w:val="24"/>
            <w:rFonts w:cs="Times New Roman" w:ascii="Times New Roman" w:hAnsi="Times New Roman"/>
          </w:rPr>
          <w:instrText> PAGE </w:instrText>
        </w:r>
        <w:r>
          <w:rPr>
            <w:sz w:val="24"/>
            <w:szCs w:val="24"/>
            <w:rFonts w:cs="Times New Roman" w:ascii="Times New Roman" w:hAnsi="Times New Roman"/>
          </w:rPr>
          <w:fldChar w:fldCharType="separate"/>
        </w:r>
        <w:r>
          <w:rPr>
            <w:sz w:val="24"/>
            <w:szCs w:val="24"/>
            <w:rFonts w:cs="Times New Roman" w:ascii="Times New Roman" w:hAnsi="Times New Roman"/>
          </w:rPr>
          <w:t>14</w:t>
        </w:r>
        <w:r>
          <w:rPr>
            <w:sz w:val="24"/>
            <w:szCs w:val="24"/>
            <w:rFonts w:cs="Times New Roman" w:ascii="Times New Roman" w:hAnsi="Times New Roman"/>
          </w:rPr>
          <w:fldChar w:fldCharType="end"/>
        </w:r>
      </w:p>
    </w:sdtContent>
  </w:sdt>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uppressLineNumbers/>
      <w:tabs>
        <w:tab w:val="center" w:pos="4819" w:leader="none"/>
        <w:tab w:val="right" w:pos="9638" w:leader="none"/>
      </w:tabs>
      <w:spacing w:lineRule="auto" w:line="240" w:before="0" w:after="0"/>
      <w:jc w:val="center"/>
      <w:textAlignment w:val="baseline"/>
      <w:rPr/>
    </w:pPr>
    <w:r>
      <w:rPr/>
      <w:drawing>
        <wp:inline distT="0" distB="0" distL="0" distR="0">
          <wp:extent cx="845820" cy="753110"/>
          <wp:effectExtent l="0" t="0" r="0" b="0"/>
          <wp:docPr id="2"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
                  <pic:cNvPicPr>
                    <a:picLocks noChangeAspect="1" noChangeArrowheads="1"/>
                  </pic:cNvPicPr>
                </pic:nvPicPr>
                <pic:blipFill>
                  <a:blip r:embed="rId1"/>
                  <a:stretch>
                    <a:fillRect/>
                  </a:stretch>
                </pic:blipFill>
                <pic:spPr bwMode="auto">
                  <a:xfrm>
                    <a:off x="0" y="0"/>
                    <a:ext cx="845820" cy="753110"/>
                  </a:xfrm>
                  <a:prstGeom prst="rect">
                    <a:avLst/>
                  </a:prstGeom>
                </pic:spPr>
              </pic:pic>
            </a:graphicData>
          </a:graphic>
        </wp:inline>
      </w:drawing>
    </w:r>
  </w:p>
  <w:p>
    <w:pPr>
      <w:pStyle w:val="Normal"/>
      <w:widowControl w:val="false"/>
      <w:suppressLineNumbers/>
      <w:tabs>
        <w:tab w:val="center" w:pos="4677" w:leader="none"/>
        <w:tab w:val="right" w:pos="9355" w:leader="none"/>
      </w:tabs>
      <w:spacing w:lineRule="exact" w:line="295" w:before="0" w:after="0"/>
      <w:jc w:val="center"/>
      <w:textAlignment w:val="baseline"/>
      <w:rPr/>
    </w:pPr>
    <w:r>
      <w:rPr>
        <w:rFonts w:eastAsia="Times New Roman" w:cs="Times New Roman" w:ascii="Times New Roman" w:hAnsi="Times New Roman"/>
        <w:kern w:val="2"/>
        <w:sz w:val="20"/>
        <w:szCs w:val="20"/>
        <w:lang w:eastAsia="zh-CN" w:bidi="hi-IN"/>
      </w:rPr>
      <w:t>SERVIÇO PÚBLICO FEDERAL</w:t>
    </w:r>
  </w:p>
  <w:p>
    <w:pPr>
      <w:pStyle w:val="Normal"/>
      <w:widowControl w:val="false"/>
      <w:suppressLineNumbers/>
      <w:tabs>
        <w:tab w:val="center" w:pos="4677" w:leader="none"/>
        <w:tab w:val="right" w:pos="9355" w:leader="none"/>
      </w:tabs>
      <w:spacing w:lineRule="exact" w:line="295" w:before="0" w:after="0"/>
      <w:jc w:val="center"/>
      <w:textAlignment w:val="baseline"/>
      <w:rPr/>
    </w:pPr>
    <w:r>
      <w:rPr>
        <w:rFonts w:eastAsia="Times New Roman" w:cs="Times New Roman" w:ascii="Times New Roman" w:hAnsi="Times New Roman"/>
        <w:kern w:val="2"/>
        <w:sz w:val="20"/>
        <w:szCs w:val="20"/>
        <w:lang w:eastAsia="zh-CN" w:bidi="hi-IN"/>
      </w:rPr>
      <w:t>UNIVERSIDADE FEDERAL DA FRONTEIRA SUL</w:t>
    </w:r>
  </w:p>
  <w:p>
    <w:pPr>
      <w:pStyle w:val="Normal"/>
      <w:widowControl w:val="false"/>
      <w:suppressLineNumbers/>
      <w:tabs>
        <w:tab w:val="center" w:pos="4677" w:leader="none"/>
        <w:tab w:val="right" w:pos="9355" w:leader="none"/>
      </w:tabs>
      <w:spacing w:lineRule="exact" w:line="295" w:before="0" w:after="0"/>
      <w:jc w:val="center"/>
      <w:textAlignment w:val="baseline"/>
      <w:rPr/>
    </w:pPr>
    <w:r>
      <w:rPr>
        <w:rFonts w:eastAsia="Times New Roman" w:cs="Times New Roman" w:ascii="Times New Roman" w:hAnsi="Times New Roman"/>
        <w:kern w:val="2"/>
        <w:sz w:val="20"/>
        <w:szCs w:val="20"/>
        <w:lang w:eastAsia="zh-CN" w:bidi="hi-IN"/>
      </w:rPr>
      <w:t>PRÓ-REITORIA DE GRADUAÇÃO</w:t>
    </w:r>
  </w:p>
  <w:p>
    <w:pPr>
      <w:pStyle w:val="Normal"/>
      <w:widowControl w:val="false"/>
      <w:suppressLineNumbers/>
      <w:tabs>
        <w:tab w:val="center" w:pos="4677" w:leader="none"/>
        <w:tab w:val="right" w:pos="9355" w:leader="none"/>
      </w:tabs>
      <w:spacing w:lineRule="exact" w:line="227" w:before="0" w:after="0"/>
      <w:jc w:val="center"/>
      <w:textAlignment w:val="baseline"/>
      <w:rPr/>
    </w:pPr>
    <w:r>
      <w:rPr>
        <w:rFonts w:eastAsia="Times New Roman" w:cs="Times New Roman" w:ascii="Times New Roman" w:hAnsi="Times New Roman"/>
        <w:kern w:val="2"/>
        <w:sz w:val="16"/>
        <w:szCs w:val="16"/>
        <w:lang w:eastAsia="zh-CN" w:bidi="hi-IN"/>
      </w:rPr>
      <w:t>Rodovia SC 484, Km 02, Fronteira Sul, Chapecó-SC, CEP 89815-899, 49 2049-3710</w:t>
    </w:r>
  </w:p>
  <w:p>
    <w:pPr>
      <w:pStyle w:val="Normal"/>
      <w:widowControl w:val="false"/>
      <w:suppressLineNumbers/>
      <w:tabs>
        <w:tab w:val="center" w:pos="4677" w:leader="none"/>
        <w:tab w:val="right" w:pos="9355" w:leader="none"/>
      </w:tabs>
      <w:spacing w:lineRule="exact" w:line="227" w:before="0" w:after="0"/>
      <w:jc w:val="center"/>
      <w:textAlignment w:val="baseline"/>
      <w:rPr/>
    </w:pPr>
    <w:r>
      <w:rPr>
        <w:rFonts w:eastAsia="Times New Roman" w:cs="Times New Roman" w:ascii="Times New Roman" w:hAnsi="Times New Roman"/>
        <w:kern w:val="2"/>
        <w:sz w:val="16"/>
        <w:szCs w:val="16"/>
        <w:lang w:eastAsia="zh-CN" w:bidi="hi-IN"/>
      </w:rPr>
      <w:t>prograd@uffs.edu.br, www.uffs.edu.br</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sz w:val="20"/>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10"/>
  <w:defaultTabStop w:val="708"/>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pt-BR"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f1b4a"/>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paragraph" w:styleId="Ttulo1">
    <w:name w:val="Heading 1"/>
    <w:basedOn w:val="Normal"/>
    <w:next w:val="Normal"/>
    <w:link w:val="Ttulo1Char"/>
    <w:uiPriority w:val="9"/>
    <w:qFormat/>
    <w:rsid w:val="00f705a0"/>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tulo2">
    <w:name w:val="Heading 2"/>
    <w:basedOn w:val="Normal"/>
    <w:link w:val="Ttulo2Char"/>
    <w:uiPriority w:val="9"/>
    <w:qFormat/>
    <w:rsid w:val="00da1b23"/>
    <w:pPr>
      <w:suppressAutoHyphens w:val="false"/>
      <w:spacing w:lineRule="auto" w:line="240" w:beforeAutospacing="1" w:afterAutospacing="1"/>
      <w:outlineLvl w:val="1"/>
    </w:pPr>
    <w:rPr>
      <w:rFonts w:ascii="Times New Roman" w:hAnsi="Times New Roman" w:eastAsia="Times New Roman" w:cs="Times New Roman"/>
      <w:b/>
      <w:bCs/>
      <w:sz w:val="36"/>
      <w:szCs w:val="36"/>
      <w:lang w:eastAsia="pt-BR"/>
    </w:rPr>
  </w:style>
  <w:style w:type="character" w:styleId="DefaultParagraphFont" w:default="1">
    <w:name w:val="Default Paragraph Font"/>
    <w:uiPriority w:val="1"/>
    <w:semiHidden/>
    <w:unhideWhenUsed/>
    <w:qFormat/>
    <w:rPr/>
  </w:style>
  <w:style w:type="character" w:styleId="LinkdaInternet">
    <w:name w:val="Link da Internet"/>
    <w:basedOn w:val="DefaultParagraphFont"/>
    <w:uiPriority w:val="99"/>
    <w:unhideWhenUsed/>
    <w:rsid w:val="000a2910"/>
    <w:rPr>
      <w:color w:val="0000FF"/>
      <w:u w:val="single"/>
    </w:rPr>
  </w:style>
  <w:style w:type="character" w:styleId="UnresolvedMention">
    <w:name w:val="Unresolved Mention"/>
    <w:basedOn w:val="DefaultParagraphFont"/>
    <w:uiPriority w:val="99"/>
    <w:semiHidden/>
    <w:unhideWhenUsed/>
    <w:qFormat/>
    <w:rsid w:val="002c30d3"/>
    <w:rPr>
      <w:color w:val="605E5C"/>
      <w:shd w:fill="E1DFDD" w:val="clear"/>
    </w:rPr>
  </w:style>
  <w:style w:type="character" w:styleId="Strong">
    <w:name w:val="Strong"/>
    <w:basedOn w:val="DefaultParagraphFont"/>
    <w:uiPriority w:val="22"/>
    <w:qFormat/>
    <w:rsid w:val="00273991"/>
    <w:rPr>
      <w:b/>
      <w:bCs/>
    </w:rPr>
  </w:style>
  <w:style w:type="character" w:styleId="CabealhoChar" w:customStyle="1">
    <w:name w:val="Cabeçalho Char"/>
    <w:basedOn w:val="DefaultParagraphFont"/>
    <w:uiPriority w:val="99"/>
    <w:qFormat/>
    <w:rsid w:val="0087342d"/>
    <w:rPr>
      <w:lang w:eastAsia="en-US"/>
    </w:rPr>
  </w:style>
  <w:style w:type="character" w:styleId="RodapChar" w:customStyle="1">
    <w:name w:val="Rodapé Char"/>
    <w:basedOn w:val="DefaultParagraphFont"/>
    <w:uiPriority w:val="99"/>
    <w:qFormat/>
    <w:rsid w:val="0087342d"/>
    <w:rPr>
      <w:lang w:eastAsia="en-US"/>
    </w:rPr>
  </w:style>
  <w:style w:type="character" w:styleId="Ttulo2Char" w:customStyle="1">
    <w:name w:val="Título 2 Char"/>
    <w:basedOn w:val="DefaultParagraphFont"/>
    <w:uiPriority w:val="9"/>
    <w:qFormat/>
    <w:rsid w:val="00da1b23"/>
    <w:rPr>
      <w:rFonts w:ascii="Times New Roman" w:hAnsi="Times New Roman" w:eastAsia="Times New Roman" w:cs="Times New Roman"/>
      <w:b/>
      <w:bCs/>
      <w:sz w:val="36"/>
      <w:szCs w:val="36"/>
    </w:rPr>
  </w:style>
  <w:style w:type="character" w:styleId="Basesnippetwrapperseparator" w:customStyle="1">
    <w:name w:val="basesnippetwrapper-separator"/>
    <w:basedOn w:val="DefaultParagraphFont"/>
    <w:qFormat/>
    <w:rsid w:val="00da1b23"/>
    <w:rPr/>
  </w:style>
  <w:style w:type="character" w:styleId="Basesnippetwrapperdate" w:customStyle="1">
    <w:name w:val="basesnippetwrapper-date"/>
    <w:basedOn w:val="DefaultParagraphFont"/>
    <w:qFormat/>
    <w:rsid w:val="00da1b23"/>
    <w:rPr/>
  </w:style>
  <w:style w:type="character" w:styleId="Ttulo1Char" w:customStyle="1">
    <w:name w:val="Título 1 Char"/>
    <w:basedOn w:val="DefaultParagraphFont"/>
    <w:uiPriority w:val="9"/>
    <w:qFormat/>
    <w:rsid w:val="00f705a0"/>
    <w:rPr>
      <w:rFonts w:ascii="Calibri Light" w:hAnsi="Calibri Light" w:eastAsia="" w:cs="" w:asciiTheme="majorHAnsi" w:cstheme="majorBidi" w:eastAsiaTheme="majorEastAsia" w:hAnsiTheme="majorHAnsi"/>
      <w:color w:val="2F5496" w:themeColor="accent1" w:themeShade="bf"/>
      <w:sz w:val="32"/>
      <w:szCs w:val="32"/>
      <w:lang w:eastAsia="en-US"/>
    </w:rPr>
  </w:style>
  <w:style w:type="character" w:styleId="Linkdainternetvisitado" w:customStyle="1">
    <w:name w:val="Link da internet visitado"/>
    <w:basedOn w:val="DefaultParagraphFont"/>
    <w:uiPriority w:val="99"/>
    <w:semiHidden/>
    <w:unhideWhenUsed/>
    <w:rsid w:val="002d3d28"/>
    <w:rPr>
      <w:color w:val="954F72" w:themeColor="followedHyperlink"/>
      <w:u w:val="single"/>
    </w:rPr>
  </w:style>
  <w:style w:type="character" w:styleId="Publicadodou" w:customStyle="1">
    <w:name w:val="publicado-dou"/>
    <w:basedOn w:val="DefaultParagraphFont"/>
    <w:qFormat/>
    <w:rsid w:val="001f0a73"/>
    <w:rPr/>
  </w:style>
  <w:style w:type="character" w:styleId="Publicadodoudata" w:customStyle="1">
    <w:name w:val="publicado-dou-data"/>
    <w:basedOn w:val="DefaultParagraphFont"/>
    <w:qFormat/>
    <w:rsid w:val="001f0a73"/>
    <w:rPr/>
  </w:style>
  <w:style w:type="character" w:styleId="Pipe" w:customStyle="1">
    <w:name w:val="pipe"/>
    <w:basedOn w:val="DefaultParagraphFont"/>
    <w:qFormat/>
    <w:rsid w:val="001f0a73"/>
    <w:rPr/>
  </w:style>
  <w:style w:type="character" w:styleId="Edicaodou" w:customStyle="1">
    <w:name w:val="edicao-dou"/>
    <w:basedOn w:val="DefaultParagraphFont"/>
    <w:qFormat/>
    <w:rsid w:val="001f0a73"/>
    <w:rPr/>
  </w:style>
  <w:style w:type="character" w:styleId="Edicaodoudata" w:customStyle="1">
    <w:name w:val="edicao-dou-data"/>
    <w:basedOn w:val="DefaultParagraphFont"/>
    <w:qFormat/>
    <w:rsid w:val="001f0a73"/>
    <w:rPr/>
  </w:style>
  <w:style w:type="character" w:styleId="Secaodou" w:customStyle="1">
    <w:name w:val="secao-dou"/>
    <w:basedOn w:val="DefaultParagraphFont"/>
    <w:qFormat/>
    <w:rsid w:val="001f0a73"/>
    <w:rPr/>
  </w:style>
  <w:style w:type="character" w:styleId="Secaodoudata" w:customStyle="1">
    <w:name w:val="secao-dou-data"/>
    <w:basedOn w:val="DefaultParagraphFont"/>
    <w:qFormat/>
    <w:rsid w:val="001f0a73"/>
    <w:rPr/>
  </w:style>
  <w:style w:type="character" w:styleId="Annotationreference">
    <w:name w:val="annotation reference"/>
    <w:basedOn w:val="DefaultParagraphFont"/>
    <w:uiPriority w:val="99"/>
    <w:semiHidden/>
    <w:unhideWhenUsed/>
    <w:qFormat/>
    <w:rsid w:val="00221730"/>
    <w:rPr>
      <w:sz w:val="16"/>
      <w:szCs w:val="16"/>
    </w:rPr>
  </w:style>
  <w:style w:type="character" w:styleId="TextodecomentrioChar" w:customStyle="1">
    <w:name w:val="Texto de comentário Char"/>
    <w:basedOn w:val="DefaultParagraphFont"/>
    <w:link w:val="Annotationtext"/>
    <w:uiPriority w:val="99"/>
    <w:semiHidden/>
    <w:qFormat/>
    <w:rsid w:val="00221730"/>
    <w:rPr>
      <w:sz w:val="20"/>
      <w:szCs w:val="20"/>
      <w:lang w:eastAsia="en-US"/>
    </w:rPr>
  </w:style>
  <w:style w:type="character" w:styleId="AssuntodocomentrioChar" w:customStyle="1">
    <w:name w:val="Assunto do comentário Char"/>
    <w:basedOn w:val="TextodecomentrioChar"/>
    <w:link w:val="Annotationsubject"/>
    <w:uiPriority w:val="99"/>
    <w:semiHidden/>
    <w:qFormat/>
    <w:rsid w:val="00221730"/>
    <w:rPr>
      <w:b/>
      <w:bCs/>
      <w:sz w:val="20"/>
      <w:szCs w:val="20"/>
      <w:lang w:eastAsia="en-US"/>
    </w:rPr>
  </w:style>
  <w:style w:type="character" w:styleId="Nfaseforte" w:customStyle="1">
    <w:name w:val="Ênfase forte"/>
    <w:qFormat/>
    <w:rPr>
      <w:b/>
      <w:bCs/>
    </w:rPr>
  </w:style>
  <w:style w:type="character" w:styleId="ListLabel1">
    <w:name w:val="ListLabel 1"/>
    <w:qFormat/>
    <w:rPr>
      <w:rFonts w:ascii="Times New Roman" w:hAnsi="Times New Roman" w:cs="Symbol"/>
      <w:sz w:val="20"/>
    </w:rPr>
  </w:style>
  <w:style w:type="character" w:styleId="ListLabel2">
    <w:name w:val="ListLabel 2"/>
    <w:qFormat/>
    <w:rPr>
      <w:rFonts w:cs="Courier New"/>
    </w:rPr>
  </w:style>
  <w:style w:type="character" w:styleId="ListLabel3">
    <w:name w:val="ListLabel 3"/>
    <w:qFormat/>
    <w:rPr>
      <w:rFonts w:cs="Wingdings"/>
    </w:rPr>
  </w:style>
  <w:style w:type="character" w:styleId="ListLabel4">
    <w:name w:val="ListLabel 4"/>
    <w:qFormat/>
    <w:rPr>
      <w:rFonts w:cs="Symbol"/>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ascii="Times New Roman" w:hAnsi="Times New Roman" w:cs="Symbol"/>
      <w:sz w:val="20"/>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cs="Symbol"/>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cs="Symbol"/>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ascii="Times New Roman" w:hAnsi="Times New Roman" w:cs="Symbol"/>
      <w:sz w:val="20"/>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cs="Symbol"/>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ascii="Times New Roman" w:hAnsi="Times New Roman" w:cs="Symbol"/>
      <w:sz w:val="20"/>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Symbol"/>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cs="Symbol"/>
    </w:rPr>
  </w:style>
  <w:style w:type="character" w:styleId="ListLabel35">
    <w:name w:val="ListLabel 35"/>
    <w:qFormat/>
    <w:rPr>
      <w:rFonts w:cs="Courier New"/>
    </w:rPr>
  </w:style>
  <w:style w:type="character" w:styleId="ListLabel36">
    <w:name w:val="ListLabel 36"/>
    <w:qFormat/>
    <w:rPr>
      <w:rFonts w:cs="Wingdings"/>
    </w:rPr>
  </w:style>
  <w:style w:type="character" w:styleId="ListLabel37">
    <w:name w:val="ListLabel 37"/>
    <w:qFormat/>
    <w:rPr>
      <w:rFonts w:ascii="Times New Roman" w:hAnsi="Times New Roman" w:cs="Symbol"/>
      <w:sz w:val="20"/>
    </w:rPr>
  </w:style>
  <w:style w:type="character" w:styleId="ListLabel38">
    <w:name w:val="ListLabel 38"/>
    <w:qFormat/>
    <w:rPr>
      <w:rFonts w:cs="Courier New"/>
    </w:rPr>
  </w:style>
  <w:style w:type="character" w:styleId="ListLabel39">
    <w:name w:val="ListLabel 39"/>
    <w:qFormat/>
    <w:rPr>
      <w:rFonts w:cs="Wingdings"/>
    </w:rPr>
  </w:style>
  <w:style w:type="character" w:styleId="ListLabel40">
    <w:name w:val="ListLabel 40"/>
    <w:qFormat/>
    <w:rPr>
      <w:rFonts w:cs="Symbol"/>
    </w:rPr>
  </w:style>
  <w:style w:type="character" w:styleId="ListLabel41">
    <w:name w:val="ListLabel 41"/>
    <w:qFormat/>
    <w:rPr>
      <w:rFonts w:cs="Courier New"/>
    </w:rPr>
  </w:style>
  <w:style w:type="character" w:styleId="ListLabel42">
    <w:name w:val="ListLabel 42"/>
    <w:qFormat/>
    <w:rPr>
      <w:rFonts w:cs="Wingdings"/>
    </w:rPr>
  </w:style>
  <w:style w:type="character" w:styleId="ListLabel43">
    <w:name w:val="ListLabel 43"/>
    <w:qFormat/>
    <w:rPr>
      <w:rFonts w:cs="Symbol"/>
    </w:rPr>
  </w:style>
  <w:style w:type="character" w:styleId="ListLabel44">
    <w:name w:val="ListLabel 44"/>
    <w:qFormat/>
    <w:rPr>
      <w:rFonts w:cs="Courier New"/>
    </w:rPr>
  </w:style>
  <w:style w:type="character" w:styleId="ListLabel45">
    <w:name w:val="ListLabel 45"/>
    <w:qFormat/>
    <w:rPr>
      <w:rFonts w:cs="Wingdings"/>
    </w:rPr>
  </w:style>
  <w:style w:type="character" w:styleId="ListLabel46">
    <w:name w:val="ListLabel 46"/>
    <w:qFormat/>
    <w:rPr>
      <w:rFonts w:ascii="Times New Roman" w:hAnsi="Times New Roman" w:cs="Symbol"/>
      <w:sz w:val="20"/>
    </w:rPr>
  </w:style>
  <w:style w:type="character" w:styleId="ListLabel47">
    <w:name w:val="ListLabel 47"/>
    <w:qFormat/>
    <w:rPr>
      <w:rFonts w:cs="Courier New"/>
    </w:rPr>
  </w:style>
  <w:style w:type="character" w:styleId="ListLabel48">
    <w:name w:val="ListLabel 48"/>
    <w:qFormat/>
    <w:rPr>
      <w:rFonts w:cs="Wingdings"/>
    </w:rPr>
  </w:style>
  <w:style w:type="character" w:styleId="ListLabel49">
    <w:name w:val="ListLabel 49"/>
    <w:qFormat/>
    <w:rPr>
      <w:rFonts w:cs="Symbol"/>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cs="Symbol"/>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ascii="Times New Roman" w:hAnsi="Times New Roman" w:cs="Symbol"/>
      <w:sz w:val="20"/>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cs="Symbol"/>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ascii="Times New Roman" w:hAnsi="Times New Roman" w:cs="Symbol"/>
      <w:b/>
      <w:sz w:val="20"/>
    </w:rPr>
  </w:style>
  <w:style w:type="character" w:styleId="ListLabel65">
    <w:name w:val="ListLabel 65"/>
    <w:qFormat/>
    <w:rPr>
      <w:rFonts w:cs="Courier New"/>
    </w:rPr>
  </w:style>
  <w:style w:type="character" w:styleId="ListLabel66">
    <w:name w:val="ListLabel 66"/>
    <w:qFormat/>
    <w:rPr>
      <w:rFonts w:cs="Wingdings"/>
    </w:rPr>
  </w:style>
  <w:style w:type="character" w:styleId="ListLabel67">
    <w:name w:val="ListLabel 67"/>
    <w:qFormat/>
    <w:rPr>
      <w:rFonts w:cs="Symbol"/>
    </w:rPr>
  </w:style>
  <w:style w:type="character" w:styleId="ListLabel68">
    <w:name w:val="ListLabel 68"/>
    <w:qFormat/>
    <w:rPr>
      <w:rFonts w:cs="Courier New"/>
    </w:rPr>
  </w:style>
  <w:style w:type="character" w:styleId="ListLabel69">
    <w:name w:val="ListLabel 69"/>
    <w:qFormat/>
    <w:rPr>
      <w:rFonts w:cs="Wingdings"/>
    </w:rPr>
  </w:style>
  <w:style w:type="character" w:styleId="ListLabel70">
    <w:name w:val="ListLabel 70"/>
    <w:qFormat/>
    <w:rPr>
      <w:rFonts w:cs="Symbol"/>
    </w:rPr>
  </w:style>
  <w:style w:type="character" w:styleId="ListLabel71">
    <w:name w:val="ListLabel 71"/>
    <w:qFormat/>
    <w:rPr>
      <w:rFonts w:cs="Courier New"/>
    </w:rPr>
  </w:style>
  <w:style w:type="character" w:styleId="ListLabel72">
    <w:name w:val="ListLabel 72"/>
    <w:qFormat/>
    <w:rPr>
      <w:rFonts w:cs="Wingdings"/>
    </w:rPr>
  </w:style>
  <w:style w:type="character" w:styleId="ListLabel73">
    <w:name w:val="ListLabel 73"/>
    <w:qFormat/>
    <w:rPr>
      <w:rFonts w:ascii="Times New Roman" w:hAnsi="Times New Roman" w:cs="Symbol"/>
      <w:sz w:val="24"/>
    </w:rPr>
  </w:style>
  <w:style w:type="character" w:styleId="ListLabel74">
    <w:name w:val="ListLabel 74"/>
    <w:qFormat/>
    <w:rPr>
      <w:rFonts w:cs="Courier New"/>
    </w:rPr>
  </w:style>
  <w:style w:type="character" w:styleId="ListLabel75">
    <w:name w:val="ListLabel 75"/>
    <w:qFormat/>
    <w:rPr>
      <w:rFonts w:cs="Wingdings"/>
    </w:rPr>
  </w:style>
  <w:style w:type="character" w:styleId="ListLabel76">
    <w:name w:val="ListLabel 76"/>
    <w:qFormat/>
    <w:rPr>
      <w:rFonts w:cs="Symbol"/>
    </w:rPr>
  </w:style>
  <w:style w:type="character" w:styleId="ListLabel77">
    <w:name w:val="ListLabel 77"/>
    <w:qFormat/>
    <w:rPr>
      <w:rFonts w:cs="Courier New"/>
    </w:rPr>
  </w:style>
  <w:style w:type="character" w:styleId="ListLabel78">
    <w:name w:val="ListLabel 78"/>
    <w:qFormat/>
    <w:rPr>
      <w:rFonts w:cs="Wingdings"/>
    </w:rPr>
  </w:style>
  <w:style w:type="character" w:styleId="ListLabel79">
    <w:name w:val="ListLabel 79"/>
    <w:qFormat/>
    <w:rPr>
      <w:rFonts w:cs="Symbol"/>
    </w:rPr>
  </w:style>
  <w:style w:type="character" w:styleId="ListLabel80">
    <w:name w:val="ListLabel 80"/>
    <w:qFormat/>
    <w:rPr>
      <w:rFonts w:cs="Courier New"/>
    </w:rPr>
  </w:style>
  <w:style w:type="character" w:styleId="ListLabel81">
    <w:name w:val="ListLabel 81"/>
    <w:qFormat/>
    <w:rPr>
      <w:rFonts w:cs="Wingdings"/>
    </w:rPr>
  </w:style>
  <w:style w:type="character" w:styleId="ListLabel82">
    <w:name w:val="ListLabel 82"/>
    <w:qFormat/>
    <w:rPr>
      <w:rFonts w:ascii="Times New Roman" w:hAnsi="Times New Roman" w:eastAsia="Calibri" w:cs="Times New Roman"/>
      <w:kern w:val="0"/>
      <w:sz w:val="20"/>
      <w:szCs w:val="20"/>
      <w:lang w:val="pt-BR" w:bidi="ar-SA"/>
    </w:rPr>
  </w:style>
  <w:style w:type="character" w:styleId="ListLabel83">
    <w:name w:val="ListLabel 83"/>
    <w:qFormat/>
    <w:rPr>
      <w:rFonts w:ascii="Times New Roman" w:hAnsi="Times New Roman" w:cs="Times New Roman"/>
      <w:sz w:val="24"/>
      <w:szCs w:val="24"/>
    </w:rPr>
  </w:style>
  <w:style w:type="character" w:styleId="ListLabel84">
    <w:name w:val="ListLabel 84"/>
    <w:qFormat/>
    <w:rPr>
      <w:rFonts w:ascii="Times New Roman" w:hAnsi="Times New Roman"/>
      <w:color w:val="1155CC"/>
      <w:sz w:val="24"/>
      <w:szCs w:val="24"/>
      <w:u w:val="single"/>
    </w:rPr>
  </w:style>
  <w:style w:type="character" w:styleId="ListLabel85">
    <w:name w:val="ListLabel 85"/>
    <w:qFormat/>
    <w:rPr>
      <w:rFonts w:ascii="Times New Roman" w:hAnsi="Times New Roman" w:cs="Symbol"/>
      <w:sz w:val="20"/>
    </w:rPr>
  </w:style>
  <w:style w:type="character" w:styleId="ListLabel86">
    <w:name w:val="ListLabel 86"/>
    <w:qFormat/>
    <w:rPr>
      <w:rFonts w:cs="Courier New"/>
    </w:rPr>
  </w:style>
  <w:style w:type="character" w:styleId="ListLabel87">
    <w:name w:val="ListLabel 87"/>
    <w:qFormat/>
    <w:rPr>
      <w:rFonts w:cs="Wingdings"/>
    </w:rPr>
  </w:style>
  <w:style w:type="character" w:styleId="ListLabel88">
    <w:name w:val="ListLabel 88"/>
    <w:qFormat/>
    <w:rPr>
      <w:rFonts w:cs="Symbol"/>
    </w:rPr>
  </w:style>
  <w:style w:type="character" w:styleId="ListLabel89">
    <w:name w:val="ListLabel 89"/>
    <w:qFormat/>
    <w:rPr>
      <w:rFonts w:cs="Courier New"/>
    </w:rPr>
  </w:style>
  <w:style w:type="character" w:styleId="ListLabel90">
    <w:name w:val="ListLabel 90"/>
    <w:qFormat/>
    <w:rPr>
      <w:rFonts w:cs="Wingdings"/>
    </w:rPr>
  </w:style>
  <w:style w:type="character" w:styleId="ListLabel91">
    <w:name w:val="ListLabel 91"/>
    <w:qFormat/>
    <w:rPr>
      <w:rFonts w:cs="Symbol"/>
    </w:rPr>
  </w:style>
  <w:style w:type="character" w:styleId="ListLabel92">
    <w:name w:val="ListLabel 92"/>
    <w:qFormat/>
    <w:rPr>
      <w:rFonts w:cs="Courier New"/>
    </w:rPr>
  </w:style>
  <w:style w:type="character" w:styleId="ListLabel93">
    <w:name w:val="ListLabel 93"/>
    <w:qFormat/>
    <w:rPr>
      <w:rFonts w:cs="Wingdings"/>
    </w:rPr>
  </w:style>
  <w:style w:type="character" w:styleId="ListLabel94">
    <w:name w:val="ListLabel 94"/>
    <w:qFormat/>
    <w:rPr>
      <w:rFonts w:ascii="Times New Roman" w:hAnsi="Times New Roman" w:cs="Symbol"/>
      <w:sz w:val="20"/>
    </w:rPr>
  </w:style>
  <w:style w:type="character" w:styleId="ListLabel95">
    <w:name w:val="ListLabel 95"/>
    <w:qFormat/>
    <w:rPr>
      <w:rFonts w:cs="Courier New"/>
    </w:rPr>
  </w:style>
  <w:style w:type="character" w:styleId="ListLabel96">
    <w:name w:val="ListLabel 96"/>
    <w:qFormat/>
    <w:rPr>
      <w:rFonts w:cs="Wingdings"/>
    </w:rPr>
  </w:style>
  <w:style w:type="character" w:styleId="ListLabel97">
    <w:name w:val="ListLabel 97"/>
    <w:qFormat/>
    <w:rPr>
      <w:rFonts w:cs="Symbol"/>
    </w:rPr>
  </w:style>
  <w:style w:type="character" w:styleId="ListLabel98">
    <w:name w:val="ListLabel 98"/>
    <w:qFormat/>
    <w:rPr>
      <w:rFonts w:cs="Courier New"/>
    </w:rPr>
  </w:style>
  <w:style w:type="character" w:styleId="ListLabel99">
    <w:name w:val="ListLabel 99"/>
    <w:qFormat/>
    <w:rPr>
      <w:rFonts w:cs="Wingdings"/>
    </w:rPr>
  </w:style>
  <w:style w:type="character" w:styleId="ListLabel100">
    <w:name w:val="ListLabel 100"/>
    <w:qFormat/>
    <w:rPr>
      <w:rFonts w:cs="Symbol"/>
    </w:rPr>
  </w:style>
  <w:style w:type="character" w:styleId="ListLabel101">
    <w:name w:val="ListLabel 101"/>
    <w:qFormat/>
    <w:rPr>
      <w:rFonts w:cs="Courier New"/>
    </w:rPr>
  </w:style>
  <w:style w:type="character" w:styleId="ListLabel102">
    <w:name w:val="ListLabel 102"/>
    <w:qFormat/>
    <w:rPr>
      <w:rFonts w:cs="Wingdings"/>
    </w:rPr>
  </w:style>
  <w:style w:type="character" w:styleId="ListLabel103">
    <w:name w:val="ListLabel 103"/>
    <w:qFormat/>
    <w:rPr>
      <w:rFonts w:ascii="Times New Roman" w:hAnsi="Times New Roman" w:cs="Symbol"/>
      <w:sz w:val="20"/>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Symbol"/>
    </w:rPr>
  </w:style>
  <w:style w:type="character" w:styleId="ListLabel107">
    <w:name w:val="ListLabel 107"/>
    <w:qFormat/>
    <w:rPr>
      <w:rFonts w:cs="Courier New"/>
    </w:rPr>
  </w:style>
  <w:style w:type="character" w:styleId="ListLabel108">
    <w:name w:val="ListLabel 108"/>
    <w:qFormat/>
    <w:rPr>
      <w:rFonts w:cs="Wingdings"/>
    </w:rPr>
  </w:style>
  <w:style w:type="character" w:styleId="ListLabel109">
    <w:name w:val="ListLabel 109"/>
    <w:qFormat/>
    <w:rPr>
      <w:rFonts w:cs="Symbol"/>
    </w:rPr>
  </w:style>
  <w:style w:type="character" w:styleId="ListLabel110">
    <w:name w:val="ListLabel 110"/>
    <w:qFormat/>
    <w:rPr>
      <w:rFonts w:cs="Courier New"/>
    </w:rPr>
  </w:style>
  <w:style w:type="character" w:styleId="ListLabel111">
    <w:name w:val="ListLabel 111"/>
    <w:qFormat/>
    <w:rPr>
      <w:rFonts w:cs="Wingdings"/>
    </w:rPr>
  </w:style>
  <w:style w:type="character" w:styleId="ListLabel112">
    <w:name w:val="ListLabel 112"/>
    <w:qFormat/>
    <w:rPr>
      <w:rFonts w:ascii="Times New Roman" w:hAnsi="Times New Roman" w:cs="Symbol"/>
      <w:sz w:val="20"/>
    </w:rPr>
  </w:style>
  <w:style w:type="character" w:styleId="ListLabel113">
    <w:name w:val="ListLabel 113"/>
    <w:qFormat/>
    <w:rPr>
      <w:rFonts w:cs="Courier New"/>
    </w:rPr>
  </w:style>
  <w:style w:type="character" w:styleId="ListLabel114">
    <w:name w:val="ListLabel 114"/>
    <w:qFormat/>
    <w:rPr>
      <w:rFonts w:cs="Wingdings"/>
    </w:rPr>
  </w:style>
  <w:style w:type="character" w:styleId="ListLabel115">
    <w:name w:val="ListLabel 115"/>
    <w:qFormat/>
    <w:rPr>
      <w:rFonts w:cs="Symbol"/>
    </w:rPr>
  </w:style>
  <w:style w:type="character" w:styleId="ListLabel116">
    <w:name w:val="ListLabel 116"/>
    <w:qFormat/>
    <w:rPr>
      <w:rFonts w:cs="Courier New"/>
    </w:rPr>
  </w:style>
  <w:style w:type="character" w:styleId="ListLabel117">
    <w:name w:val="ListLabel 117"/>
    <w:qFormat/>
    <w:rPr>
      <w:rFonts w:cs="Wingdings"/>
    </w:rPr>
  </w:style>
  <w:style w:type="character" w:styleId="ListLabel118">
    <w:name w:val="ListLabel 118"/>
    <w:qFormat/>
    <w:rPr>
      <w:rFonts w:cs="Symbol"/>
    </w:rPr>
  </w:style>
  <w:style w:type="character" w:styleId="ListLabel119">
    <w:name w:val="ListLabel 119"/>
    <w:qFormat/>
    <w:rPr>
      <w:rFonts w:cs="Courier New"/>
    </w:rPr>
  </w:style>
  <w:style w:type="character" w:styleId="ListLabel120">
    <w:name w:val="ListLabel 120"/>
    <w:qFormat/>
    <w:rPr>
      <w:rFonts w:cs="Wingdings"/>
    </w:rPr>
  </w:style>
  <w:style w:type="character" w:styleId="ListLabel121">
    <w:name w:val="ListLabel 121"/>
    <w:qFormat/>
    <w:rPr>
      <w:rFonts w:ascii="Times New Roman" w:hAnsi="Times New Roman" w:cs="Symbol"/>
      <w:sz w:val="20"/>
    </w:rPr>
  </w:style>
  <w:style w:type="character" w:styleId="ListLabel122">
    <w:name w:val="ListLabel 122"/>
    <w:qFormat/>
    <w:rPr>
      <w:rFonts w:cs="Courier New"/>
    </w:rPr>
  </w:style>
  <w:style w:type="character" w:styleId="ListLabel123">
    <w:name w:val="ListLabel 123"/>
    <w:qFormat/>
    <w:rPr>
      <w:rFonts w:cs="Wingdings"/>
    </w:rPr>
  </w:style>
  <w:style w:type="character" w:styleId="ListLabel124">
    <w:name w:val="ListLabel 124"/>
    <w:qFormat/>
    <w:rPr>
      <w:rFonts w:cs="Symbol"/>
    </w:rPr>
  </w:style>
  <w:style w:type="character" w:styleId="ListLabel125">
    <w:name w:val="ListLabel 125"/>
    <w:qFormat/>
    <w:rPr>
      <w:rFonts w:cs="Courier New"/>
    </w:rPr>
  </w:style>
  <w:style w:type="character" w:styleId="ListLabel126">
    <w:name w:val="ListLabel 126"/>
    <w:qFormat/>
    <w:rPr>
      <w:rFonts w:cs="Wingdings"/>
    </w:rPr>
  </w:style>
  <w:style w:type="character" w:styleId="ListLabel127">
    <w:name w:val="ListLabel 127"/>
    <w:qFormat/>
    <w:rPr>
      <w:rFonts w:cs="Symbol"/>
    </w:rPr>
  </w:style>
  <w:style w:type="character" w:styleId="ListLabel128">
    <w:name w:val="ListLabel 128"/>
    <w:qFormat/>
    <w:rPr>
      <w:rFonts w:cs="Courier New"/>
    </w:rPr>
  </w:style>
  <w:style w:type="character" w:styleId="ListLabel129">
    <w:name w:val="ListLabel 129"/>
    <w:qFormat/>
    <w:rPr>
      <w:rFonts w:cs="Wingdings"/>
    </w:rPr>
  </w:style>
  <w:style w:type="character" w:styleId="ListLabel130">
    <w:name w:val="ListLabel 130"/>
    <w:qFormat/>
    <w:rPr>
      <w:rFonts w:ascii="Times New Roman" w:hAnsi="Times New Roman" w:cs="Symbol"/>
      <w:sz w:val="20"/>
    </w:rPr>
  </w:style>
  <w:style w:type="character" w:styleId="ListLabel131">
    <w:name w:val="ListLabel 131"/>
    <w:qFormat/>
    <w:rPr>
      <w:rFonts w:cs="Courier New"/>
    </w:rPr>
  </w:style>
  <w:style w:type="character" w:styleId="ListLabel132">
    <w:name w:val="ListLabel 132"/>
    <w:qFormat/>
    <w:rPr>
      <w:rFonts w:cs="Wingdings"/>
    </w:rPr>
  </w:style>
  <w:style w:type="character" w:styleId="ListLabel133">
    <w:name w:val="ListLabel 133"/>
    <w:qFormat/>
    <w:rPr>
      <w:rFonts w:cs="Symbol"/>
    </w:rPr>
  </w:style>
  <w:style w:type="character" w:styleId="ListLabel134">
    <w:name w:val="ListLabel 134"/>
    <w:qFormat/>
    <w:rPr>
      <w:rFonts w:cs="Courier New"/>
    </w:rPr>
  </w:style>
  <w:style w:type="character" w:styleId="ListLabel135">
    <w:name w:val="ListLabel 135"/>
    <w:qFormat/>
    <w:rPr>
      <w:rFonts w:cs="Wingdings"/>
    </w:rPr>
  </w:style>
  <w:style w:type="character" w:styleId="ListLabel136">
    <w:name w:val="ListLabel 136"/>
    <w:qFormat/>
    <w:rPr>
      <w:rFonts w:cs="Symbol"/>
    </w:rPr>
  </w:style>
  <w:style w:type="character" w:styleId="ListLabel137">
    <w:name w:val="ListLabel 137"/>
    <w:qFormat/>
    <w:rPr>
      <w:rFonts w:cs="Courier New"/>
    </w:rPr>
  </w:style>
  <w:style w:type="character" w:styleId="ListLabel138">
    <w:name w:val="ListLabel 138"/>
    <w:qFormat/>
    <w:rPr>
      <w:rFonts w:cs="Wingdings"/>
    </w:rPr>
  </w:style>
  <w:style w:type="character" w:styleId="ListLabel139">
    <w:name w:val="ListLabel 139"/>
    <w:qFormat/>
    <w:rPr>
      <w:rFonts w:cs="Symbol"/>
      <w:sz w:val="20"/>
    </w:rPr>
  </w:style>
  <w:style w:type="character" w:styleId="ListLabel140">
    <w:name w:val="ListLabel 140"/>
    <w:qFormat/>
    <w:rPr>
      <w:rFonts w:cs="Courier New"/>
    </w:rPr>
  </w:style>
  <w:style w:type="character" w:styleId="ListLabel141">
    <w:name w:val="ListLabel 141"/>
    <w:qFormat/>
    <w:rPr>
      <w:rFonts w:cs="Wingdings"/>
    </w:rPr>
  </w:style>
  <w:style w:type="character" w:styleId="ListLabel142">
    <w:name w:val="ListLabel 142"/>
    <w:qFormat/>
    <w:rPr>
      <w:rFonts w:cs="Symbol"/>
    </w:rPr>
  </w:style>
  <w:style w:type="character" w:styleId="ListLabel143">
    <w:name w:val="ListLabel 143"/>
    <w:qFormat/>
    <w:rPr>
      <w:rFonts w:cs="Courier New"/>
    </w:rPr>
  </w:style>
  <w:style w:type="character" w:styleId="ListLabel144">
    <w:name w:val="ListLabel 144"/>
    <w:qFormat/>
    <w:rPr>
      <w:rFonts w:cs="Wingdings"/>
    </w:rPr>
  </w:style>
  <w:style w:type="character" w:styleId="ListLabel145">
    <w:name w:val="ListLabel 145"/>
    <w:qFormat/>
    <w:rPr>
      <w:rFonts w:cs="Symbol"/>
    </w:rPr>
  </w:style>
  <w:style w:type="character" w:styleId="ListLabel146">
    <w:name w:val="ListLabel 146"/>
    <w:qFormat/>
    <w:rPr>
      <w:rFonts w:cs="Courier New"/>
    </w:rPr>
  </w:style>
  <w:style w:type="character" w:styleId="ListLabel147">
    <w:name w:val="ListLabel 147"/>
    <w:qFormat/>
    <w:rPr>
      <w:rFonts w:cs="Wingdings"/>
    </w:rPr>
  </w:style>
  <w:style w:type="character" w:styleId="ListLabel148">
    <w:name w:val="ListLabel 148"/>
    <w:qFormat/>
    <w:rPr>
      <w:rFonts w:ascii="Times New Roman" w:hAnsi="Times New Roman" w:cs="Symbol"/>
      <w:b/>
      <w:sz w:val="20"/>
    </w:rPr>
  </w:style>
  <w:style w:type="character" w:styleId="ListLabel149">
    <w:name w:val="ListLabel 149"/>
    <w:qFormat/>
    <w:rPr>
      <w:rFonts w:cs="Courier New"/>
    </w:rPr>
  </w:style>
  <w:style w:type="character" w:styleId="ListLabel150">
    <w:name w:val="ListLabel 150"/>
    <w:qFormat/>
    <w:rPr>
      <w:rFonts w:cs="Wingdings"/>
    </w:rPr>
  </w:style>
  <w:style w:type="character" w:styleId="ListLabel151">
    <w:name w:val="ListLabel 151"/>
    <w:qFormat/>
    <w:rPr>
      <w:rFonts w:cs="Symbol"/>
    </w:rPr>
  </w:style>
  <w:style w:type="character" w:styleId="ListLabel152">
    <w:name w:val="ListLabel 152"/>
    <w:qFormat/>
    <w:rPr>
      <w:rFonts w:cs="Courier New"/>
    </w:rPr>
  </w:style>
  <w:style w:type="character" w:styleId="ListLabel153">
    <w:name w:val="ListLabel 153"/>
    <w:qFormat/>
    <w:rPr>
      <w:rFonts w:cs="Wingdings"/>
    </w:rPr>
  </w:style>
  <w:style w:type="character" w:styleId="ListLabel154">
    <w:name w:val="ListLabel 154"/>
    <w:qFormat/>
    <w:rPr>
      <w:rFonts w:cs="Symbol"/>
    </w:rPr>
  </w:style>
  <w:style w:type="character" w:styleId="ListLabel155">
    <w:name w:val="ListLabel 155"/>
    <w:qFormat/>
    <w:rPr>
      <w:rFonts w:cs="Courier New"/>
    </w:rPr>
  </w:style>
  <w:style w:type="character" w:styleId="ListLabel156">
    <w:name w:val="ListLabel 156"/>
    <w:qFormat/>
    <w:rPr>
      <w:rFonts w:cs="Wingdings"/>
    </w:rPr>
  </w:style>
  <w:style w:type="character" w:styleId="ListLabel157">
    <w:name w:val="ListLabel 157"/>
    <w:qFormat/>
    <w:rPr>
      <w:rFonts w:ascii="Times New Roman" w:hAnsi="Times New Roman" w:cs="Symbol"/>
      <w:sz w:val="24"/>
    </w:rPr>
  </w:style>
  <w:style w:type="character" w:styleId="ListLabel158">
    <w:name w:val="ListLabel 158"/>
    <w:qFormat/>
    <w:rPr>
      <w:rFonts w:cs="Courier New"/>
    </w:rPr>
  </w:style>
  <w:style w:type="character" w:styleId="ListLabel159">
    <w:name w:val="ListLabel 159"/>
    <w:qFormat/>
    <w:rPr>
      <w:rFonts w:cs="Wingdings"/>
    </w:rPr>
  </w:style>
  <w:style w:type="character" w:styleId="ListLabel160">
    <w:name w:val="ListLabel 160"/>
    <w:qFormat/>
    <w:rPr>
      <w:rFonts w:cs="Symbol"/>
    </w:rPr>
  </w:style>
  <w:style w:type="character" w:styleId="ListLabel161">
    <w:name w:val="ListLabel 161"/>
    <w:qFormat/>
    <w:rPr>
      <w:rFonts w:cs="Courier New"/>
    </w:rPr>
  </w:style>
  <w:style w:type="character" w:styleId="ListLabel162">
    <w:name w:val="ListLabel 162"/>
    <w:qFormat/>
    <w:rPr>
      <w:rFonts w:cs="Wingdings"/>
    </w:rPr>
  </w:style>
  <w:style w:type="character" w:styleId="ListLabel163">
    <w:name w:val="ListLabel 163"/>
    <w:qFormat/>
    <w:rPr>
      <w:rFonts w:cs="Symbol"/>
    </w:rPr>
  </w:style>
  <w:style w:type="character" w:styleId="ListLabel164">
    <w:name w:val="ListLabel 164"/>
    <w:qFormat/>
    <w:rPr>
      <w:rFonts w:cs="Courier New"/>
    </w:rPr>
  </w:style>
  <w:style w:type="character" w:styleId="ListLabel165">
    <w:name w:val="ListLabel 165"/>
    <w:qFormat/>
    <w:rPr>
      <w:rFonts w:cs="Wingdings"/>
    </w:rPr>
  </w:style>
  <w:style w:type="character" w:styleId="ListLabel166">
    <w:name w:val="ListLabel 166"/>
    <w:qFormat/>
    <w:rPr>
      <w:rFonts w:ascii="Times New Roman" w:hAnsi="Times New Roman" w:eastAsia="Calibri" w:cs="Times New Roman"/>
      <w:kern w:val="0"/>
      <w:sz w:val="20"/>
      <w:szCs w:val="20"/>
      <w:lang w:val="pt-BR" w:bidi="ar-SA"/>
    </w:rPr>
  </w:style>
  <w:style w:type="character" w:styleId="ListLabel167">
    <w:name w:val="ListLabel 167"/>
    <w:qFormat/>
    <w:rPr>
      <w:rFonts w:ascii="Times New Roman" w:hAnsi="Times New Roman" w:cs="Times New Roman"/>
      <w:sz w:val="24"/>
      <w:szCs w:val="24"/>
    </w:rPr>
  </w:style>
  <w:style w:type="character" w:styleId="ListLabel168">
    <w:name w:val="ListLabel 168"/>
    <w:qFormat/>
    <w:rPr>
      <w:rFonts w:ascii="Times New Roman" w:hAnsi="Times New Roman"/>
      <w:color w:val="1155CC"/>
      <w:sz w:val="24"/>
      <w:szCs w:val="24"/>
      <w:u w:val="single"/>
    </w:rPr>
  </w:style>
  <w:style w:type="character" w:styleId="ListLabel169">
    <w:name w:val="ListLabel 169"/>
    <w:qFormat/>
    <w:rPr>
      <w:rFonts w:ascii="Times New Roman" w:hAnsi="Times New Roman" w:cs="Symbol"/>
      <w:sz w:val="20"/>
    </w:rPr>
  </w:style>
  <w:style w:type="character" w:styleId="ListLabel170">
    <w:name w:val="ListLabel 170"/>
    <w:qFormat/>
    <w:rPr>
      <w:rFonts w:cs="Courier New"/>
    </w:rPr>
  </w:style>
  <w:style w:type="character" w:styleId="ListLabel171">
    <w:name w:val="ListLabel 171"/>
    <w:qFormat/>
    <w:rPr>
      <w:rFonts w:cs="Wingdings"/>
    </w:rPr>
  </w:style>
  <w:style w:type="character" w:styleId="ListLabel172">
    <w:name w:val="ListLabel 172"/>
    <w:qFormat/>
    <w:rPr>
      <w:rFonts w:cs="Symbol"/>
    </w:rPr>
  </w:style>
  <w:style w:type="character" w:styleId="ListLabel173">
    <w:name w:val="ListLabel 173"/>
    <w:qFormat/>
    <w:rPr>
      <w:rFonts w:cs="Courier New"/>
    </w:rPr>
  </w:style>
  <w:style w:type="character" w:styleId="ListLabel174">
    <w:name w:val="ListLabel 174"/>
    <w:qFormat/>
    <w:rPr>
      <w:rFonts w:cs="Wingdings"/>
    </w:rPr>
  </w:style>
  <w:style w:type="character" w:styleId="ListLabel175">
    <w:name w:val="ListLabel 175"/>
    <w:qFormat/>
    <w:rPr>
      <w:rFonts w:cs="Symbol"/>
    </w:rPr>
  </w:style>
  <w:style w:type="character" w:styleId="ListLabel176">
    <w:name w:val="ListLabel 176"/>
    <w:qFormat/>
    <w:rPr>
      <w:rFonts w:cs="Courier New"/>
    </w:rPr>
  </w:style>
  <w:style w:type="character" w:styleId="ListLabel177">
    <w:name w:val="ListLabel 177"/>
    <w:qFormat/>
    <w:rPr>
      <w:rFonts w:cs="Wingdings"/>
    </w:rPr>
  </w:style>
  <w:style w:type="character" w:styleId="ListLabel178">
    <w:name w:val="ListLabel 178"/>
    <w:qFormat/>
    <w:rPr>
      <w:rFonts w:ascii="Times New Roman" w:hAnsi="Times New Roman" w:cs="Symbol"/>
      <w:sz w:val="20"/>
    </w:rPr>
  </w:style>
  <w:style w:type="character" w:styleId="ListLabel179">
    <w:name w:val="ListLabel 179"/>
    <w:qFormat/>
    <w:rPr>
      <w:rFonts w:cs="Courier New"/>
    </w:rPr>
  </w:style>
  <w:style w:type="character" w:styleId="ListLabel180">
    <w:name w:val="ListLabel 180"/>
    <w:qFormat/>
    <w:rPr>
      <w:rFonts w:cs="Wingdings"/>
    </w:rPr>
  </w:style>
  <w:style w:type="character" w:styleId="ListLabel181">
    <w:name w:val="ListLabel 181"/>
    <w:qFormat/>
    <w:rPr>
      <w:rFonts w:cs="Symbol"/>
    </w:rPr>
  </w:style>
  <w:style w:type="character" w:styleId="ListLabel182">
    <w:name w:val="ListLabel 182"/>
    <w:qFormat/>
    <w:rPr>
      <w:rFonts w:cs="Courier New"/>
    </w:rPr>
  </w:style>
  <w:style w:type="character" w:styleId="ListLabel183">
    <w:name w:val="ListLabel 183"/>
    <w:qFormat/>
    <w:rPr>
      <w:rFonts w:cs="Wingdings"/>
    </w:rPr>
  </w:style>
  <w:style w:type="character" w:styleId="ListLabel184">
    <w:name w:val="ListLabel 184"/>
    <w:qFormat/>
    <w:rPr>
      <w:rFonts w:cs="Symbol"/>
    </w:rPr>
  </w:style>
  <w:style w:type="character" w:styleId="ListLabel185">
    <w:name w:val="ListLabel 185"/>
    <w:qFormat/>
    <w:rPr>
      <w:rFonts w:cs="Courier New"/>
    </w:rPr>
  </w:style>
  <w:style w:type="character" w:styleId="ListLabel186">
    <w:name w:val="ListLabel 186"/>
    <w:qFormat/>
    <w:rPr>
      <w:rFonts w:cs="Wingdings"/>
    </w:rPr>
  </w:style>
  <w:style w:type="character" w:styleId="ListLabel187">
    <w:name w:val="ListLabel 187"/>
    <w:qFormat/>
    <w:rPr>
      <w:rFonts w:ascii="Times New Roman" w:hAnsi="Times New Roman" w:cs="Symbol"/>
      <w:sz w:val="20"/>
    </w:rPr>
  </w:style>
  <w:style w:type="character" w:styleId="ListLabel188">
    <w:name w:val="ListLabel 188"/>
    <w:qFormat/>
    <w:rPr>
      <w:rFonts w:cs="Courier New"/>
    </w:rPr>
  </w:style>
  <w:style w:type="character" w:styleId="ListLabel189">
    <w:name w:val="ListLabel 189"/>
    <w:qFormat/>
    <w:rPr>
      <w:rFonts w:cs="Wingdings"/>
    </w:rPr>
  </w:style>
  <w:style w:type="character" w:styleId="ListLabel190">
    <w:name w:val="ListLabel 190"/>
    <w:qFormat/>
    <w:rPr>
      <w:rFonts w:cs="Symbol"/>
    </w:rPr>
  </w:style>
  <w:style w:type="character" w:styleId="ListLabel191">
    <w:name w:val="ListLabel 191"/>
    <w:qFormat/>
    <w:rPr>
      <w:rFonts w:cs="Courier New"/>
    </w:rPr>
  </w:style>
  <w:style w:type="character" w:styleId="ListLabel192">
    <w:name w:val="ListLabel 192"/>
    <w:qFormat/>
    <w:rPr>
      <w:rFonts w:cs="Wingdings"/>
    </w:rPr>
  </w:style>
  <w:style w:type="character" w:styleId="ListLabel193">
    <w:name w:val="ListLabel 193"/>
    <w:qFormat/>
    <w:rPr>
      <w:rFonts w:cs="Symbol"/>
    </w:rPr>
  </w:style>
  <w:style w:type="character" w:styleId="ListLabel194">
    <w:name w:val="ListLabel 194"/>
    <w:qFormat/>
    <w:rPr>
      <w:rFonts w:cs="Courier New"/>
    </w:rPr>
  </w:style>
  <w:style w:type="character" w:styleId="ListLabel195">
    <w:name w:val="ListLabel 195"/>
    <w:qFormat/>
    <w:rPr>
      <w:rFonts w:cs="Wingdings"/>
    </w:rPr>
  </w:style>
  <w:style w:type="character" w:styleId="ListLabel196">
    <w:name w:val="ListLabel 196"/>
    <w:qFormat/>
    <w:rPr>
      <w:rFonts w:ascii="Times New Roman" w:hAnsi="Times New Roman" w:cs="Symbol"/>
      <w:sz w:val="20"/>
    </w:rPr>
  </w:style>
  <w:style w:type="character" w:styleId="ListLabel197">
    <w:name w:val="ListLabel 197"/>
    <w:qFormat/>
    <w:rPr>
      <w:rFonts w:cs="Courier New"/>
    </w:rPr>
  </w:style>
  <w:style w:type="character" w:styleId="ListLabel198">
    <w:name w:val="ListLabel 198"/>
    <w:qFormat/>
    <w:rPr>
      <w:rFonts w:cs="Wingdings"/>
    </w:rPr>
  </w:style>
  <w:style w:type="character" w:styleId="ListLabel199">
    <w:name w:val="ListLabel 199"/>
    <w:qFormat/>
    <w:rPr>
      <w:rFonts w:cs="Symbol"/>
    </w:rPr>
  </w:style>
  <w:style w:type="character" w:styleId="ListLabel200">
    <w:name w:val="ListLabel 200"/>
    <w:qFormat/>
    <w:rPr>
      <w:rFonts w:cs="Courier New"/>
    </w:rPr>
  </w:style>
  <w:style w:type="character" w:styleId="ListLabel201">
    <w:name w:val="ListLabel 201"/>
    <w:qFormat/>
    <w:rPr>
      <w:rFonts w:cs="Wingdings"/>
    </w:rPr>
  </w:style>
  <w:style w:type="character" w:styleId="ListLabel202">
    <w:name w:val="ListLabel 202"/>
    <w:qFormat/>
    <w:rPr>
      <w:rFonts w:cs="Symbol"/>
    </w:rPr>
  </w:style>
  <w:style w:type="character" w:styleId="ListLabel203">
    <w:name w:val="ListLabel 203"/>
    <w:qFormat/>
    <w:rPr>
      <w:rFonts w:cs="Courier New"/>
    </w:rPr>
  </w:style>
  <w:style w:type="character" w:styleId="ListLabel204">
    <w:name w:val="ListLabel 204"/>
    <w:qFormat/>
    <w:rPr>
      <w:rFonts w:cs="Wingdings"/>
    </w:rPr>
  </w:style>
  <w:style w:type="character" w:styleId="ListLabel205">
    <w:name w:val="ListLabel 205"/>
    <w:qFormat/>
    <w:rPr>
      <w:rFonts w:ascii="Times New Roman" w:hAnsi="Times New Roman" w:cs="Symbol"/>
      <w:sz w:val="20"/>
    </w:rPr>
  </w:style>
  <w:style w:type="character" w:styleId="ListLabel206">
    <w:name w:val="ListLabel 206"/>
    <w:qFormat/>
    <w:rPr>
      <w:rFonts w:cs="Courier New"/>
    </w:rPr>
  </w:style>
  <w:style w:type="character" w:styleId="ListLabel207">
    <w:name w:val="ListLabel 207"/>
    <w:qFormat/>
    <w:rPr>
      <w:rFonts w:cs="Wingdings"/>
    </w:rPr>
  </w:style>
  <w:style w:type="character" w:styleId="ListLabel208">
    <w:name w:val="ListLabel 208"/>
    <w:qFormat/>
    <w:rPr>
      <w:rFonts w:cs="Symbol"/>
    </w:rPr>
  </w:style>
  <w:style w:type="character" w:styleId="ListLabel209">
    <w:name w:val="ListLabel 209"/>
    <w:qFormat/>
    <w:rPr>
      <w:rFonts w:cs="Courier New"/>
    </w:rPr>
  </w:style>
  <w:style w:type="character" w:styleId="ListLabel210">
    <w:name w:val="ListLabel 210"/>
    <w:qFormat/>
    <w:rPr>
      <w:rFonts w:cs="Wingdings"/>
    </w:rPr>
  </w:style>
  <w:style w:type="character" w:styleId="ListLabel211">
    <w:name w:val="ListLabel 211"/>
    <w:qFormat/>
    <w:rPr>
      <w:rFonts w:cs="Symbol"/>
    </w:rPr>
  </w:style>
  <w:style w:type="character" w:styleId="ListLabel212">
    <w:name w:val="ListLabel 212"/>
    <w:qFormat/>
    <w:rPr>
      <w:rFonts w:cs="Courier New"/>
    </w:rPr>
  </w:style>
  <w:style w:type="character" w:styleId="ListLabel213">
    <w:name w:val="ListLabel 213"/>
    <w:qFormat/>
    <w:rPr>
      <w:rFonts w:cs="Wingdings"/>
    </w:rPr>
  </w:style>
  <w:style w:type="character" w:styleId="ListLabel214">
    <w:name w:val="ListLabel 214"/>
    <w:qFormat/>
    <w:rPr>
      <w:rFonts w:ascii="Times New Roman" w:hAnsi="Times New Roman" w:cs="Symbol"/>
      <w:sz w:val="20"/>
    </w:rPr>
  </w:style>
  <w:style w:type="character" w:styleId="ListLabel215">
    <w:name w:val="ListLabel 215"/>
    <w:qFormat/>
    <w:rPr>
      <w:rFonts w:cs="Courier New"/>
    </w:rPr>
  </w:style>
  <w:style w:type="character" w:styleId="ListLabel216">
    <w:name w:val="ListLabel 216"/>
    <w:qFormat/>
    <w:rPr>
      <w:rFonts w:cs="Wingdings"/>
    </w:rPr>
  </w:style>
  <w:style w:type="character" w:styleId="ListLabel217">
    <w:name w:val="ListLabel 217"/>
    <w:qFormat/>
    <w:rPr>
      <w:rFonts w:cs="Symbol"/>
    </w:rPr>
  </w:style>
  <w:style w:type="character" w:styleId="ListLabel218">
    <w:name w:val="ListLabel 218"/>
    <w:qFormat/>
    <w:rPr>
      <w:rFonts w:cs="Courier New"/>
    </w:rPr>
  </w:style>
  <w:style w:type="character" w:styleId="ListLabel219">
    <w:name w:val="ListLabel 219"/>
    <w:qFormat/>
    <w:rPr>
      <w:rFonts w:cs="Wingdings"/>
    </w:rPr>
  </w:style>
  <w:style w:type="character" w:styleId="ListLabel220">
    <w:name w:val="ListLabel 220"/>
    <w:qFormat/>
    <w:rPr>
      <w:rFonts w:cs="Symbol"/>
    </w:rPr>
  </w:style>
  <w:style w:type="character" w:styleId="ListLabel221">
    <w:name w:val="ListLabel 221"/>
    <w:qFormat/>
    <w:rPr>
      <w:rFonts w:cs="Courier New"/>
    </w:rPr>
  </w:style>
  <w:style w:type="character" w:styleId="ListLabel222">
    <w:name w:val="ListLabel 222"/>
    <w:qFormat/>
    <w:rPr>
      <w:rFonts w:cs="Wingdings"/>
    </w:rPr>
  </w:style>
  <w:style w:type="character" w:styleId="ListLabel223">
    <w:name w:val="ListLabel 223"/>
    <w:qFormat/>
    <w:rPr>
      <w:rFonts w:cs="Symbol"/>
      <w:sz w:val="20"/>
    </w:rPr>
  </w:style>
  <w:style w:type="character" w:styleId="ListLabel224">
    <w:name w:val="ListLabel 224"/>
    <w:qFormat/>
    <w:rPr>
      <w:rFonts w:cs="Courier New"/>
    </w:rPr>
  </w:style>
  <w:style w:type="character" w:styleId="ListLabel225">
    <w:name w:val="ListLabel 225"/>
    <w:qFormat/>
    <w:rPr>
      <w:rFonts w:cs="Wingdings"/>
    </w:rPr>
  </w:style>
  <w:style w:type="character" w:styleId="ListLabel226">
    <w:name w:val="ListLabel 226"/>
    <w:qFormat/>
    <w:rPr>
      <w:rFonts w:cs="Symbol"/>
    </w:rPr>
  </w:style>
  <w:style w:type="character" w:styleId="ListLabel227">
    <w:name w:val="ListLabel 227"/>
    <w:qFormat/>
    <w:rPr>
      <w:rFonts w:cs="Courier New"/>
    </w:rPr>
  </w:style>
  <w:style w:type="character" w:styleId="ListLabel228">
    <w:name w:val="ListLabel 228"/>
    <w:qFormat/>
    <w:rPr>
      <w:rFonts w:cs="Wingdings"/>
    </w:rPr>
  </w:style>
  <w:style w:type="character" w:styleId="ListLabel229">
    <w:name w:val="ListLabel 229"/>
    <w:qFormat/>
    <w:rPr>
      <w:rFonts w:cs="Symbol"/>
    </w:rPr>
  </w:style>
  <w:style w:type="character" w:styleId="ListLabel230">
    <w:name w:val="ListLabel 230"/>
    <w:qFormat/>
    <w:rPr>
      <w:rFonts w:cs="Courier New"/>
    </w:rPr>
  </w:style>
  <w:style w:type="character" w:styleId="ListLabel231">
    <w:name w:val="ListLabel 231"/>
    <w:qFormat/>
    <w:rPr>
      <w:rFonts w:cs="Wingdings"/>
    </w:rPr>
  </w:style>
  <w:style w:type="character" w:styleId="ListLabel232">
    <w:name w:val="ListLabel 232"/>
    <w:qFormat/>
    <w:rPr>
      <w:rFonts w:ascii="Times New Roman" w:hAnsi="Times New Roman" w:cs="Symbol"/>
      <w:b/>
      <w:sz w:val="20"/>
    </w:rPr>
  </w:style>
  <w:style w:type="character" w:styleId="ListLabel233">
    <w:name w:val="ListLabel 233"/>
    <w:qFormat/>
    <w:rPr>
      <w:rFonts w:cs="Courier New"/>
    </w:rPr>
  </w:style>
  <w:style w:type="character" w:styleId="ListLabel234">
    <w:name w:val="ListLabel 234"/>
    <w:qFormat/>
    <w:rPr>
      <w:rFonts w:cs="Wingdings"/>
    </w:rPr>
  </w:style>
  <w:style w:type="character" w:styleId="ListLabel235">
    <w:name w:val="ListLabel 235"/>
    <w:qFormat/>
    <w:rPr>
      <w:rFonts w:cs="Symbol"/>
    </w:rPr>
  </w:style>
  <w:style w:type="character" w:styleId="ListLabel236">
    <w:name w:val="ListLabel 236"/>
    <w:qFormat/>
    <w:rPr>
      <w:rFonts w:cs="Courier New"/>
    </w:rPr>
  </w:style>
  <w:style w:type="character" w:styleId="ListLabel237">
    <w:name w:val="ListLabel 237"/>
    <w:qFormat/>
    <w:rPr>
      <w:rFonts w:cs="Wingdings"/>
    </w:rPr>
  </w:style>
  <w:style w:type="character" w:styleId="ListLabel238">
    <w:name w:val="ListLabel 238"/>
    <w:qFormat/>
    <w:rPr>
      <w:rFonts w:cs="Symbol"/>
    </w:rPr>
  </w:style>
  <w:style w:type="character" w:styleId="ListLabel239">
    <w:name w:val="ListLabel 239"/>
    <w:qFormat/>
    <w:rPr>
      <w:rFonts w:cs="Courier New"/>
    </w:rPr>
  </w:style>
  <w:style w:type="character" w:styleId="ListLabel240">
    <w:name w:val="ListLabel 240"/>
    <w:qFormat/>
    <w:rPr>
      <w:rFonts w:cs="Wingdings"/>
    </w:rPr>
  </w:style>
  <w:style w:type="character" w:styleId="ListLabel241">
    <w:name w:val="ListLabel 241"/>
    <w:qFormat/>
    <w:rPr>
      <w:rFonts w:ascii="Times New Roman" w:hAnsi="Times New Roman" w:cs="Symbol"/>
      <w:sz w:val="24"/>
    </w:rPr>
  </w:style>
  <w:style w:type="character" w:styleId="ListLabel242">
    <w:name w:val="ListLabel 242"/>
    <w:qFormat/>
    <w:rPr>
      <w:rFonts w:cs="Courier New"/>
    </w:rPr>
  </w:style>
  <w:style w:type="character" w:styleId="ListLabel243">
    <w:name w:val="ListLabel 243"/>
    <w:qFormat/>
    <w:rPr>
      <w:rFonts w:cs="Wingdings"/>
    </w:rPr>
  </w:style>
  <w:style w:type="character" w:styleId="ListLabel244">
    <w:name w:val="ListLabel 244"/>
    <w:qFormat/>
    <w:rPr>
      <w:rFonts w:cs="Symbol"/>
    </w:rPr>
  </w:style>
  <w:style w:type="character" w:styleId="ListLabel245">
    <w:name w:val="ListLabel 245"/>
    <w:qFormat/>
    <w:rPr>
      <w:rFonts w:cs="Courier New"/>
    </w:rPr>
  </w:style>
  <w:style w:type="character" w:styleId="ListLabel246">
    <w:name w:val="ListLabel 246"/>
    <w:qFormat/>
    <w:rPr>
      <w:rFonts w:cs="Wingdings"/>
    </w:rPr>
  </w:style>
  <w:style w:type="character" w:styleId="ListLabel247">
    <w:name w:val="ListLabel 247"/>
    <w:qFormat/>
    <w:rPr>
      <w:rFonts w:cs="Symbol"/>
    </w:rPr>
  </w:style>
  <w:style w:type="character" w:styleId="ListLabel248">
    <w:name w:val="ListLabel 248"/>
    <w:qFormat/>
    <w:rPr>
      <w:rFonts w:cs="Courier New"/>
    </w:rPr>
  </w:style>
  <w:style w:type="character" w:styleId="ListLabel249">
    <w:name w:val="ListLabel 249"/>
    <w:qFormat/>
    <w:rPr>
      <w:rFonts w:cs="Wingdings"/>
    </w:rPr>
  </w:style>
  <w:style w:type="character" w:styleId="ListLabel250">
    <w:name w:val="ListLabel 250"/>
    <w:qFormat/>
    <w:rPr>
      <w:rFonts w:ascii="Times New Roman" w:hAnsi="Times New Roman" w:eastAsia="Calibri" w:cs="Times New Roman"/>
      <w:kern w:val="0"/>
      <w:sz w:val="20"/>
      <w:szCs w:val="20"/>
      <w:lang w:val="pt-BR" w:bidi="ar-SA"/>
    </w:rPr>
  </w:style>
  <w:style w:type="character" w:styleId="ListLabel251">
    <w:name w:val="ListLabel 251"/>
    <w:qFormat/>
    <w:rPr>
      <w:rFonts w:ascii="Times New Roman" w:hAnsi="Times New Roman" w:eastAsia="Calibri" w:cs="Times New Roman"/>
      <w:color w:val="FF0000"/>
      <w:kern w:val="0"/>
      <w:sz w:val="20"/>
      <w:szCs w:val="20"/>
      <w:lang w:val="pt-BR" w:bidi="ar-SA"/>
    </w:rPr>
  </w:style>
  <w:style w:type="character" w:styleId="ListLabel252">
    <w:name w:val="ListLabel 252"/>
    <w:qFormat/>
    <w:rPr>
      <w:rFonts w:ascii="Times New Roman" w:hAnsi="Times New Roman" w:cs="Times New Roman"/>
      <w:sz w:val="24"/>
      <w:szCs w:val="24"/>
    </w:rPr>
  </w:style>
  <w:style w:type="character" w:styleId="ListLabel253">
    <w:name w:val="ListLabel 253"/>
    <w:qFormat/>
    <w:rPr>
      <w:rFonts w:ascii="Times New Roman" w:hAnsi="Times New Roman"/>
      <w:color w:val="1155CC"/>
      <w:sz w:val="24"/>
      <w:szCs w:val="24"/>
      <w:u w:val="single"/>
    </w:rPr>
  </w:style>
  <w:style w:type="character" w:styleId="ListLabel254">
    <w:name w:val="ListLabel 254"/>
    <w:qFormat/>
    <w:rPr>
      <w:rFonts w:ascii="Times New Roman" w:hAnsi="Times New Roman" w:cs="Symbol"/>
      <w:sz w:val="20"/>
    </w:rPr>
  </w:style>
  <w:style w:type="character" w:styleId="ListLabel255">
    <w:name w:val="ListLabel 255"/>
    <w:qFormat/>
    <w:rPr>
      <w:rFonts w:cs="Courier New"/>
    </w:rPr>
  </w:style>
  <w:style w:type="character" w:styleId="ListLabel256">
    <w:name w:val="ListLabel 256"/>
    <w:qFormat/>
    <w:rPr>
      <w:rFonts w:cs="Wingdings"/>
    </w:rPr>
  </w:style>
  <w:style w:type="character" w:styleId="ListLabel257">
    <w:name w:val="ListLabel 257"/>
    <w:qFormat/>
    <w:rPr>
      <w:rFonts w:cs="Symbol"/>
    </w:rPr>
  </w:style>
  <w:style w:type="character" w:styleId="ListLabel258">
    <w:name w:val="ListLabel 258"/>
    <w:qFormat/>
    <w:rPr>
      <w:rFonts w:cs="Courier New"/>
    </w:rPr>
  </w:style>
  <w:style w:type="character" w:styleId="ListLabel259">
    <w:name w:val="ListLabel 259"/>
    <w:qFormat/>
    <w:rPr>
      <w:rFonts w:cs="Wingdings"/>
    </w:rPr>
  </w:style>
  <w:style w:type="character" w:styleId="ListLabel260">
    <w:name w:val="ListLabel 260"/>
    <w:qFormat/>
    <w:rPr>
      <w:rFonts w:cs="Symbol"/>
    </w:rPr>
  </w:style>
  <w:style w:type="character" w:styleId="ListLabel261">
    <w:name w:val="ListLabel 261"/>
    <w:qFormat/>
    <w:rPr>
      <w:rFonts w:cs="Courier New"/>
    </w:rPr>
  </w:style>
  <w:style w:type="character" w:styleId="ListLabel262">
    <w:name w:val="ListLabel 262"/>
    <w:qFormat/>
    <w:rPr>
      <w:rFonts w:cs="Wingdings"/>
    </w:rPr>
  </w:style>
  <w:style w:type="character" w:styleId="ListLabel263">
    <w:name w:val="ListLabel 263"/>
    <w:qFormat/>
    <w:rPr>
      <w:rFonts w:ascii="Times New Roman" w:hAnsi="Times New Roman" w:cs="Symbol"/>
      <w:sz w:val="20"/>
    </w:rPr>
  </w:style>
  <w:style w:type="character" w:styleId="ListLabel264">
    <w:name w:val="ListLabel 264"/>
    <w:qFormat/>
    <w:rPr>
      <w:rFonts w:cs="Courier New"/>
    </w:rPr>
  </w:style>
  <w:style w:type="character" w:styleId="ListLabel265">
    <w:name w:val="ListLabel 265"/>
    <w:qFormat/>
    <w:rPr>
      <w:rFonts w:cs="Wingdings"/>
    </w:rPr>
  </w:style>
  <w:style w:type="character" w:styleId="ListLabel266">
    <w:name w:val="ListLabel 266"/>
    <w:qFormat/>
    <w:rPr>
      <w:rFonts w:cs="Symbol"/>
    </w:rPr>
  </w:style>
  <w:style w:type="character" w:styleId="ListLabel267">
    <w:name w:val="ListLabel 267"/>
    <w:qFormat/>
    <w:rPr>
      <w:rFonts w:cs="Courier New"/>
    </w:rPr>
  </w:style>
  <w:style w:type="character" w:styleId="ListLabel268">
    <w:name w:val="ListLabel 268"/>
    <w:qFormat/>
    <w:rPr>
      <w:rFonts w:cs="Wingdings"/>
    </w:rPr>
  </w:style>
  <w:style w:type="character" w:styleId="ListLabel269">
    <w:name w:val="ListLabel 269"/>
    <w:qFormat/>
    <w:rPr>
      <w:rFonts w:cs="Symbol"/>
    </w:rPr>
  </w:style>
  <w:style w:type="character" w:styleId="ListLabel270">
    <w:name w:val="ListLabel 270"/>
    <w:qFormat/>
    <w:rPr>
      <w:rFonts w:cs="Courier New"/>
    </w:rPr>
  </w:style>
  <w:style w:type="character" w:styleId="ListLabel271">
    <w:name w:val="ListLabel 271"/>
    <w:qFormat/>
    <w:rPr>
      <w:rFonts w:cs="Wingdings"/>
    </w:rPr>
  </w:style>
  <w:style w:type="character" w:styleId="ListLabel272">
    <w:name w:val="ListLabel 272"/>
    <w:qFormat/>
    <w:rPr>
      <w:rFonts w:ascii="Times New Roman" w:hAnsi="Times New Roman" w:cs="Symbol"/>
      <w:sz w:val="20"/>
    </w:rPr>
  </w:style>
  <w:style w:type="character" w:styleId="ListLabel273">
    <w:name w:val="ListLabel 273"/>
    <w:qFormat/>
    <w:rPr>
      <w:rFonts w:cs="Courier New"/>
    </w:rPr>
  </w:style>
  <w:style w:type="character" w:styleId="ListLabel274">
    <w:name w:val="ListLabel 274"/>
    <w:qFormat/>
    <w:rPr>
      <w:rFonts w:cs="Wingdings"/>
    </w:rPr>
  </w:style>
  <w:style w:type="character" w:styleId="ListLabel275">
    <w:name w:val="ListLabel 275"/>
    <w:qFormat/>
    <w:rPr>
      <w:rFonts w:cs="Symbol"/>
    </w:rPr>
  </w:style>
  <w:style w:type="character" w:styleId="ListLabel276">
    <w:name w:val="ListLabel 276"/>
    <w:qFormat/>
    <w:rPr>
      <w:rFonts w:cs="Courier New"/>
    </w:rPr>
  </w:style>
  <w:style w:type="character" w:styleId="ListLabel277">
    <w:name w:val="ListLabel 277"/>
    <w:qFormat/>
    <w:rPr>
      <w:rFonts w:cs="Wingdings"/>
    </w:rPr>
  </w:style>
  <w:style w:type="character" w:styleId="ListLabel278">
    <w:name w:val="ListLabel 278"/>
    <w:qFormat/>
    <w:rPr>
      <w:rFonts w:cs="Symbol"/>
    </w:rPr>
  </w:style>
  <w:style w:type="character" w:styleId="ListLabel279">
    <w:name w:val="ListLabel 279"/>
    <w:qFormat/>
    <w:rPr>
      <w:rFonts w:cs="Courier New"/>
    </w:rPr>
  </w:style>
  <w:style w:type="character" w:styleId="ListLabel280">
    <w:name w:val="ListLabel 280"/>
    <w:qFormat/>
    <w:rPr>
      <w:rFonts w:cs="Wingdings"/>
    </w:rPr>
  </w:style>
  <w:style w:type="character" w:styleId="ListLabel281">
    <w:name w:val="ListLabel 281"/>
    <w:qFormat/>
    <w:rPr>
      <w:rFonts w:ascii="Times New Roman" w:hAnsi="Times New Roman" w:cs="Symbol"/>
      <w:sz w:val="20"/>
    </w:rPr>
  </w:style>
  <w:style w:type="character" w:styleId="ListLabel282">
    <w:name w:val="ListLabel 282"/>
    <w:qFormat/>
    <w:rPr>
      <w:rFonts w:cs="Courier New"/>
    </w:rPr>
  </w:style>
  <w:style w:type="character" w:styleId="ListLabel283">
    <w:name w:val="ListLabel 283"/>
    <w:qFormat/>
    <w:rPr>
      <w:rFonts w:cs="Wingdings"/>
    </w:rPr>
  </w:style>
  <w:style w:type="character" w:styleId="ListLabel284">
    <w:name w:val="ListLabel 284"/>
    <w:qFormat/>
    <w:rPr>
      <w:rFonts w:cs="Symbol"/>
    </w:rPr>
  </w:style>
  <w:style w:type="character" w:styleId="ListLabel285">
    <w:name w:val="ListLabel 285"/>
    <w:qFormat/>
    <w:rPr>
      <w:rFonts w:cs="Courier New"/>
    </w:rPr>
  </w:style>
  <w:style w:type="character" w:styleId="ListLabel286">
    <w:name w:val="ListLabel 286"/>
    <w:qFormat/>
    <w:rPr>
      <w:rFonts w:cs="Wingdings"/>
    </w:rPr>
  </w:style>
  <w:style w:type="character" w:styleId="ListLabel287">
    <w:name w:val="ListLabel 287"/>
    <w:qFormat/>
    <w:rPr>
      <w:rFonts w:cs="Symbol"/>
    </w:rPr>
  </w:style>
  <w:style w:type="character" w:styleId="ListLabel288">
    <w:name w:val="ListLabel 288"/>
    <w:qFormat/>
    <w:rPr>
      <w:rFonts w:cs="Courier New"/>
    </w:rPr>
  </w:style>
  <w:style w:type="character" w:styleId="ListLabel289">
    <w:name w:val="ListLabel 289"/>
    <w:qFormat/>
    <w:rPr>
      <w:rFonts w:cs="Wingdings"/>
    </w:rPr>
  </w:style>
  <w:style w:type="character" w:styleId="ListLabel290">
    <w:name w:val="ListLabel 290"/>
    <w:qFormat/>
    <w:rPr>
      <w:rFonts w:ascii="Times New Roman" w:hAnsi="Times New Roman" w:cs="Symbol"/>
      <w:sz w:val="20"/>
    </w:rPr>
  </w:style>
  <w:style w:type="character" w:styleId="ListLabel291">
    <w:name w:val="ListLabel 291"/>
    <w:qFormat/>
    <w:rPr>
      <w:rFonts w:cs="Courier New"/>
    </w:rPr>
  </w:style>
  <w:style w:type="character" w:styleId="ListLabel292">
    <w:name w:val="ListLabel 292"/>
    <w:qFormat/>
    <w:rPr>
      <w:rFonts w:cs="Wingdings"/>
    </w:rPr>
  </w:style>
  <w:style w:type="character" w:styleId="ListLabel293">
    <w:name w:val="ListLabel 293"/>
    <w:qFormat/>
    <w:rPr>
      <w:rFonts w:cs="Symbol"/>
    </w:rPr>
  </w:style>
  <w:style w:type="character" w:styleId="ListLabel294">
    <w:name w:val="ListLabel 294"/>
    <w:qFormat/>
    <w:rPr>
      <w:rFonts w:cs="Courier New"/>
    </w:rPr>
  </w:style>
  <w:style w:type="character" w:styleId="ListLabel295">
    <w:name w:val="ListLabel 295"/>
    <w:qFormat/>
    <w:rPr>
      <w:rFonts w:cs="Wingdings"/>
    </w:rPr>
  </w:style>
  <w:style w:type="character" w:styleId="ListLabel296">
    <w:name w:val="ListLabel 296"/>
    <w:qFormat/>
    <w:rPr>
      <w:rFonts w:cs="Symbol"/>
    </w:rPr>
  </w:style>
  <w:style w:type="character" w:styleId="ListLabel297">
    <w:name w:val="ListLabel 297"/>
    <w:qFormat/>
    <w:rPr>
      <w:rFonts w:cs="Courier New"/>
    </w:rPr>
  </w:style>
  <w:style w:type="character" w:styleId="ListLabel298">
    <w:name w:val="ListLabel 298"/>
    <w:qFormat/>
    <w:rPr>
      <w:rFonts w:cs="Wingdings"/>
    </w:rPr>
  </w:style>
  <w:style w:type="character" w:styleId="ListLabel299">
    <w:name w:val="ListLabel 299"/>
    <w:qFormat/>
    <w:rPr>
      <w:rFonts w:ascii="Times New Roman" w:hAnsi="Times New Roman" w:cs="Symbol"/>
      <w:sz w:val="20"/>
    </w:rPr>
  </w:style>
  <w:style w:type="character" w:styleId="ListLabel300">
    <w:name w:val="ListLabel 300"/>
    <w:qFormat/>
    <w:rPr>
      <w:rFonts w:cs="Courier New"/>
    </w:rPr>
  </w:style>
  <w:style w:type="character" w:styleId="ListLabel301">
    <w:name w:val="ListLabel 301"/>
    <w:qFormat/>
    <w:rPr>
      <w:rFonts w:cs="Wingdings"/>
    </w:rPr>
  </w:style>
  <w:style w:type="character" w:styleId="ListLabel302">
    <w:name w:val="ListLabel 302"/>
    <w:qFormat/>
    <w:rPr>
      <w:rFonts w:cs="Symbol"/>
    </w:rPr>
  </w:style>
  <w:style w:type="character" w:styleId="ListLabel303">
    <w:name w:val="ListLabel 303"/>
    <w:qFormat/>
    <w:rPr>
      <w:rFonts w:cs="Courier New"/>
    </w:rPr>
  </w:style>
  <w:style w:type="character" w:styleId="ListLabel304">
    <w:name w:val="ListLabel 304"/>
    <w:qFormat/>
    <w:rPr>
      <w:rFonts w:cs="Wingdings"/>
    </w:rPr>
  </w:style>
  <w:style w:type="character" w:styleId="ListLabel305">
    <w:name w:val="ListLabel 305"/>
    <w:qFormat/>
    <w:rPr>
      <w:rFonts w:cs="Symbol"/>
    </w:rPr>
  </w:style>
  <w:style w:type="character" w:styleId="ListLabel306">
    <w:name w:val="ListLabel 306"/>
    <w:qFormat/>
    <w:rPr>
      <w:rFonts w:cs="Courier New"/>
    </w:rPr>
  </w:style>
  <w:style w:type="character" w:styleId="ListLabel307">
    <w:name w:val="ListLabel 307"/>
    <w:qFormat/>
    <w:rPr>
      <w:rFonts w:cs="Wingdings"/>
    </w:rPr>
  </w:style>
  <w:style w:type="character" w:styleId="ListLabel308">
    <w:name w:val="ListLabel 308"/>
    <w:qFormat/>
    <w:rPr>
      <w:rFonts w:cs="Symbol"/>
      <w:sz w:val="20"/>
    </w:rPr>
  </w:style>
  <w:style w:type="character" w:styleId="ListLabel309">
    <w:name w:val="ListLabel 309"/>
    <w:qFormat/>
    <w:rPr>
      <w:rFonts w:cs="Courier New"/>
    </w:rPr>
  </w:style>
  <w:style w:type="character" w:styleId="ListLabel310">
    <w:name w:val="ListLabel 310"/>
    <w:qFormat/>
    <w:rPr>
      <w:rFonts w:cs="Wingdings"/>
    </w:rPr>
  </w:style>
  <w:style w:type="character" w:styleId="ListLabel311">
    <w:name w:val="ListLabel 311"/>
    <w:qFormat/>
    <w:rPr>
      <w:rFonts w:cs="Symbol"/>
    </w:rPr>
  </w:style>
  <w:style w:type="character" w:styleId="ListLabel312">
    <w:name w:val="ListLabel 312"/>
    <w:qFormat/>
    <w:rPr>
      <w:rFonts w:cs="Courier New"/>
    </w:rPr>
  </w:style>
  <w:style w:type="character" w:styleId="ListLabel313">
    <w:name w:val="ListLabel 313"/>
    <w:qFormat/>
    <w:rPr>
      <w:rFonts w:cs="Wingdings"/>
    </w:rPr>
  </w:style>
  <w:style w:type="character" w:styleId="ListLabel314">
    <w:name w:val="ListLabel 314"/>
    <w:qFormat/>
    <w:rPr>
      <w:rFonts w:cs="Symbol"/>
    </w:rPr>
  </w:style>
  <w:style w:type="character" w:styleId="ListLabel315">
    <w:name w:val="ListLabel 315"/>
    <w:qFormat/>
    <w:rPr>
      <w:rFonts w:cs="Courier New"/>
    </w:rPr>
  </w:style>
  <w:style w:type="character" w:styleId="ListLabel316">
    <w:name w:val="ListLabel 316"/>
    <w:qFormat/>
    <w:rPr>
      <w:rFonts w:cs="Wingdings"/>
    </w:rPr>
  </w:style>
  <w:style w:type="character" w:styleId="ListLabel317">
    <w:name w:val="ListLabel 317"/>
    <w:qFormat/>
    <w:rPr>
      <w:rFonts w:ascii="Times New Roman" w:hAnsi="Times New Roman" w:cs="Symbol"/>
      <w:b/>
      <w:sz w:val="20"/>
    </w:rPr>
  </w:style>
  <w:style w:type="character" w:styleId="ListLabel318">
    <w:name w:val="ListLabel 318"/>
    <w:qFormat/>
    <w:rPr>
      <w:rFonts w:cs="Courier New"/>
    </w:rPr>
  </w:style>
  <w:style w:type="character" w:styleId="ListLabel319">
    <w:name w:val="ListLabel 319"/>
    <w:qFormat/>
    <w:rPr>
      <w:rFonts w:cs="Wingdings"/>
    </w:rPr>
  </w:style>
  <w:style w:type="character" w:styleId="ListLabel320">
    <w:name w:val="ListLabel 320"/>
    <w:qFormat/>
    <w:rPr>
      <w:rFonts w:cs="Symbol"/>
    </w:rPr>
  </w:style>
  <w:style w:type="character" w:styleId="ListLabel321">
    <w:name w:val="ListLabel 321"/>
    <w:qFormat/>
    <w:rPr>
      <w:rFonts w:cs="Courier New"/>
    </w:rPr>
  </w:style>
  <w:style w:type="character" w:styleId="ListLabel322">
    <w:name w:val="ListLabel 322"/>
    <w:qFormat/>
    <w:rPr>
      <w:rFonts w:cs="Wingdings"/>
    </w:rPr>
  </w:style>
  <w:style w:type="character" w:styleId="ListLabel323">
    <w:name w:val="ListLabel 323"/>
    <w:qFormat/>
    <w:rPr>
      <w:rFonts w:cs="Symbol"/>
    </w:rPr>
  </w:style>
  <w:style w:type="character" w:styleId="ListLabel324">
    <w:name w:val="ListLabel 324"/>
    <w:qFormat/>
    <w:rPr>
      <w:rFonts w:cs="Courier New"/>
    </w:rPr>
  </w:style>
  <w:style w:type="character" w:styleId="ListLabel325">
    <w:name w:val="ListLabel 325"/>
    <w:qFormat/>
    <w:rPr>
      <w:rFonts w:cs="Wingdings"/>
    </w:rPr>
  </w:style>
  <w:style w:type="character" w:styleId="ListLabel326">
    <w:name w:val="ListLabel 326"/>
    <w:qFormat/>
    <w:rPr>
      <w:rFonts w:ascii="Times New Roman" w:hAnsi="Times New Roman" w:cs="Symbol"/>
      <w:sz w:val="24"/>
    </w:rPr>
  </w:style>
  <w:style w:type="character" w:styleId="ListLabel327">
    <w:name w:val="ListLabel 327"/>
    <w:qFormat/>
    <w:rPr>
      <w:rFonts w:cs="Courier New"/>
    </w:rPr>
  </w:style>
  <w:style w:type="character" w:styleId="ListLabel328">
    <w:name w:val="ListLabel 328"/>
    <w:qFormat/>
    <w:rPr>
      <w:rFonts w:cs="Wingdings"/>
    </w:rPr>
  </w:style>
  <w:style w:type="character" w:styleId="ListLabel329">
    <w:name w:val="ListLabel 329"/>
    <w:qFormat/>
    <w:rPr>
      <w:rFonts w:cs="Symbol"/>
    </w:rPr>
  </w:style>
  <w:style w:type="character" w:styleId="ListLabel330">
    <w:name w:val="ListLabel 330"/>
    <w:qFormat/>
    <w:rPr>
      <w:rFonts w:cs="Courier New"/>
    </w:rPr>
  </w:style>
  <w:style w:type="character" w:styleId="ListLabel331">
    <w:name w:val="ListLabel 331"/>
    <w:qFormat/>
    <w:rPr>
      <w:rFonts w:cs="Wingdings"/>
    </w:rPr>
  </w:style>
  <w:style w:type="character" w:styleId="ListLabel332">
    <w:name w:val="ListLabel 332"/>
    <w:qFormat/>
    <w:rPr>
      <w:rFonts w:cs="Symbol"/>
    </w:rPr>
  </w:style>
  <w:style w:type="character" w:styleId="ListLabel333">
    <w:name w:val="ListLabel 333"/>
    <w:qFormat/>
    <w:rPr>
      <w:rFonts w:cs="Courier New"/>
    </w:rPr>
  </w:style>
  <w:style w:type="character" w:styleId="ListLabel334">
    <w:name w:val="ListLabel 334"/>
    <w:qFormat/>
    <w:rPr>
      <w:rFonts w:cs="Wingdings"/>
    </w:rPr>
  </w:style>
  <w:style w:type="character" w:styleId="ListLabel335">
    <w:name w:val="ListLabel 335"/>
    <w:qFormat/>
    <w:rPr>
      <w:rFonts w:ascii="Times New Roman" w:hAnsi="Times New Roman" w:eastAsia="Calibri" w:cs="Times New Roman"/>
      <w:kern w:val="0"/>
      <w:sz w:val="20"/>
      <w:szCs w:val="20"/>
      <w:lang w:val="pt-BR" w:bidi="ar-SA"/>
    </w:rPr>
  </w:style>
  <w:style w:type="character" w:styleId="ListLabel336">
    <w:name w:val="ListLabel 336"/>
    <w:qFormat/>
    <w:rPr>
      <w:rFonts w:ascii="Times New Roman" w:hAnsi="Times New Roman" w:eastAsia="Calibri" w:cs="Times New Roman"/>
      <w:color w:val="FF0000"/>
      <w:kern w:val="0"/>
      <w:sz w:val="20"/>
      <w:szCs w:val="20"/>
      <w:lang w:val="pt-BR" w:bidi="ar-SA"/>
    </w:rPr>
  </w:style>
  <w:style w:type="character" w:styleId="ListLabel337">
    <w:name w:val="ListLabel 337"/>
    <w:qFormat/>
    <w:rPr>
      <w:rFonts w:ascii="Times New Roman" w:hAnsi="Times New Roman" w:cs="Times New Roman"/>
      <w:sz w:val="24"/>
      <w:szCs w:val="24"/>
    </w:rPr>
  </w:style>
  <w:style w:type="character" w:styleId="ListLabel338">
    <w:name w:val="ListLabel 338"/>
    <w:qFormat/>
    <w:rPr>
      <w:rFonts w:ascii="Times New Roman" w:hAnsi="Times New Roman"/>
      <w:color w:val="1155CC"/>
      <w:sz w:val="24"/>
      <w:szCs w:val="24"/>
      <w:u w:val="single"/>
    </w:rPr>
  </w:style>
  <w:style w:type="paragraph" w:styleId="Ttulo">
    <w:name w:val="Título"/>
    <w:basedOn w:val="Normal"/>
    <w:next w:val="Corpodetexto"/>
    <w:qFormat/>
    <w:pPr>
      <w:keepNext w:val="true"/>
      <w:spacing w:before="240" w:after="120"/>
    </w:pPr>
    <w:rPr>
      <w:rFonts w:ascii="Liberation Sans" w:hAnsi="Liberation Sans" w:eastAsia="Microsoft YaHei" w:cs="Arial"/>
      <w:sz w:val="28"/>
      <w:szCs w:val="28"/>
    </w:rPr>
  </w:style>
  <w:style w:type="paragraph" w:styleId="Corpodetexto">
    <w:name w:val="Body Text"/>
    <w:basedOn w:val="Normal"/>
    <w:pPr>
      <w:spacing w:lineRule="auto" w:line="276" w:before="0" w:after="140"/>
    </w:pPr>
    <w:rPr/>
  </w:style>
  <w:style w:type="paragraph" w:styleId="Lista">
    <w:name w:val="List"/>
    <w:basedOn w:val="Corpode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dodocumento">
    <w:name w:val="Title"/>
    <w:basedOn w:val="Normal"/>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ListParagraph">
    <w:name w:val="List Paragraph"/>
    <w:basedOn w:val="Normal"/>
    <w:uiPriority w:val="34"/>
    <w:qFormat/>
    <w:rsid w:val="00457064"/>
    <w:pPr>
      <w:spacing w:before="0" w:after="160"/>
      <w:ind w:left="720" w:hanging="0"/>
      <w:contextualSpacing/>
    </w:pPr>
    <w:rPr/>
  </w:style>
  <w:style w:type="paragraph" w:styleId="NormalWeb">
    <w:name w:val="Normal (Web)"/>
    <w:basedOn w:val="Normal"/>
    <w:uiPriority w:val="99"/>
    <w:semiHidden/>
    <w:unhideWhenUsed/>
    <w:qFormat/>
    <w:rsid w:val="00273991"/>
    <w:pPr>
      <w:suppressAutoHyphens w:val="false"/>
      <w:spacing w:lineRule="auto" w:line="240" w:beforeAutospacing="1" w:afterAutospacing="1"/>
    </w:pPr>
    <w:rPr>
      <w:rFonts w:ascii="Times New Roman" w:hAnsi="Times New Roman" w:eastAsia="Times New Roman" w:cs="Times New Roman"/>
      <w:sz w:val="24"/>
      <w:szCs w:val="24"/>
      <w:lang w:eastAsia="pt-BR"/>
    </w:rPr>
  </w:style>
  <w:style w:type="paragraph" w:styleId="CabealhoeRodap" w:customStyle="1">
    <w:name w:val="Cabeçalho e Rodapé"/>
    <w:basedOn w:val="Normal"/>
    <w:qFormat/>
    <w:pPr/>
    <w:rPr/>
  </w:style>
  <w:style w:type="paragraph" w:styleId="Cabealho">
    <w:name w:val="Header"/>
    <w:basedOn w:val="Normal"/>
    <w:link w:val="CabealhoChar"/>
    <w:uiPriority w:val="99"/>
    <w:unhideWhenUsed/>
    <w:rsid w:val="0087342d"/>
    <w:pPr>
      <w:tabs>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87342d"/>
    <w:pPr>
      <w:tabs>
        <w:tab w:val="center" w:pos="4252" w:leader="none"/>
        <w:tab w:val="right" w:pos="8504" w:leader="none"/>
      </w:tabs>
      <w:spacing w:lineRule="auto" w:line="240" w:before="0" w:after="0"/>
    </w:pPr>
    <w:rPr/>
  </w:style>
  <w:style w:type="paragraph" w:styleId="Annotationtext">
    <w:name w:val="annotation text"/>
    <w:basedOn w:val="Normal"/>
    <w:link w:val="TextodecomentrioChar"/>
    <w:uiPriority w:val="99"/>
    <w:semiHidden/>
    <w:unhideWhenUsed/>
    <w:qFormat/>
    <w:rsid w:val="00221730"/>
    <w:pPr>
      <w:spacing w:lineRule="auto" w:line="240"/>
    </w:pPr>
    <w:rPr>
      <w:sz w:val="20"/>
      <w:szCs w:val="20"/>
    </w:rPr>
  </w:style>
  <w:style w:type="paragraph" w:styleId="Annotationsubject">
    <w:name w:val="annotation subject"/>
    <w:basedOn w:val="Annotationtext"/>
    <w:link w:val="AssuntodocomentrioChar"/>
    <w:uiPriority w:val="99"/>
    <w:semiHidden/>
    <w:unhideWhenUsed/>
    <w:qFormat/>
    <w:rsid w:val="00221730"/>
    <w:pPr/>
    <w:rPr>
      <w:b/>
      <w:bCs/>
    </w:rPr>
  </w:style>
  <w:style w:type="paragraph" w:styleId="Revision">
    <w:name w:val="Revision"/>
    <w:uiPriority w:val="99"/>
    <w:semiHidden/>
    <w:qFormat/>
    <w:rsid w:val="00221730"/>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paragraph" w:styleId="LONormal" w:customStyle="1">
    <w:name w:val="LO-Normal"/>
    <w:qFormat/>
    <w:pPr>
      <w:widowControl w:val="false"/>
      <w:suppressAutoHyphens w:val="true"/>
      <w:bidi w:val="0"/>
      <w:spacing w:lineRule="auto" w:line="259" w:before="0" w:after="0"/>
      <w:jc w:val="left"/>
    </w:pPr>
    <w:rPr>
      <w:rFonts w:ascii="Calibri" w:hAnsi="Calibri" w:eastAsia="Calibri" w:cs="" w:asciiTheme="minorHAnsi" w:cstheme="minorBidi" w:eastAsiaTheme="minorHAnsi" w:hAnsiTheme="minorHAnsi"/>
      <w:color w:val="auto"/>
      <w:kern w:val="0"/>
      <w:sz w:val="22"/>
      <w:szCs w:val="22"/>
      <w:lang w:val="pt-BR" w:eastAsia="pt-BR" w:bidi="ar-SA"/>
    </w:rPr>
  </w:style>
  <w:style w:type="paragraph" w:styleId="Contedodatabela" w:customStyle="1">
    <w:name w:val="Conteúdo da tabela"/>
    <w:basedOn w:val="Normal"/>
    <w:qFormat/>
    <w:pPr>
      <w:widowControl w:val="false"/>
      <w:suppressLineNumbers/>
    </w:pPr>
    <w:rPr/>
  </w:style>
  <w:style w:type="paragraph" w:styleId="Ttulodetabela" w:customStyle="1">
    <w:name w:val="Título de tabela"/>
    <w:basedOn w:val="Contedodatabela"/>
    <w:qFormat/>
    <w:pPr>
      <w:jc w:val="center"/>
    </w:pPr>
    <w:rPr>
      <w:b/>
      <w:bCs/>
    </w:rPr>
  </w:style>
  <w:style w:type="paragraph" w:styleId="Standard" w:customStyle="1">
    <w:name w:val="Standard"/>
    <w:qFormat/>
    <w:rsid w:val="00590d20"/>
    <w:pPr>
      <w:widowControl w:val="false"/>
      <w:suppressAutoHyphens w:val="true"/>
      <w:bidi w:val="0"/>
      <w:spacing w:before="0" w:after="0"/>
      <w:jc w:val="left"/>
      <w:textAlignment w:val="baseline"/>
    </w:pPr>
    <w:rPr>
      <w:rFonts w:ascii="Liberation Serif" w:hAnsi="Liberation Serif" w:eastAsia="Liberation Serif" w:cs="Liberation Serif"/>
      <w:color w:val="auto"/>
      <w:kern w:val="0"/>
      <w:sz w:val="24"/>
      <w:szCs w:val="24"/>
      <w:lang w:val="pt-BR" w:eastAsia="zh-CN" w:bidi="hi-IN"/>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39"/>
    <w:rsid w:val="000771e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uffs.webex.com/join/prograd" TargetMode="External"/><Relationship Id="rId3" Type="http://schemas.openxmlformats.org/officeDocument/2006/relationships/hyperlink" Target="https://uffs.webex.com/join/prograd" TargetMode="External"/><Relationship Id="rId4" Type="http://schemas.openxmlformats.org/officeDocument/2006/relationships/hyperlink" Target="https://uffs.webex.com/join/prograd" TargetMode="External"/><Relationship Id="rId5" Type="http://schemas.openxmlformats.org/officeDocument/2006/relationships/hyperlink" Target="https://uffs.webex.com/join/prograd" TargetMode="External"/><Relationship Id="rId6" Type="http://schemas.openxmlformats.org/officeDocument/2006/relationships/hyperlink" Target="https://uffs.webex.com/join/prograd" TargetMode="External"/><Relationship Id="rId7" Type="http://schemas.openxmlformats.org/officeDocument/2006/relationships/hyperlink" Target="https://uffs.webex.com/join/prograd" TargetMode="External"/><Relationship Id="rId8" Type="http://schemas.openxmlformats.org/officeDocument/2006/relationships/hyperlink" Target="https://www.in.gov.br/materia/-/asset_publisher/Kujrw0TZC2Mb/content/id/55877808" TargetMode="External"/><Relationship Id="rId9" Type="http://schemas.openxmlformats.org/officeDocument/2006/relationships/hyperlink" Target="http://portal.mec.gov.br/docman/setembro-2020-pdf/157501-pces498-20/file" TargetMode="External"/><Relationship Id="rId10" Type="http://schemas.openxmlformats.org/officeDocument/2006/relationships/hyperlink" Target="https://www-mgm.uffs.edu.br/atos-normativos/resolucao/consuni/2021-0093" TargetMode="External"/><Relationship Id="rId11" Type="http://schemas.openxmlformats.org/officeDocument/2006/relationships/hyperlink" Target="https://pesquisa.in.gov.br/imprensa/jsp/visualiza/index.jsp?data=23/12/2019&amp;jornal=515&amp;pagina=115&amp;totalArquivos=305" TargetMode="External"/><Relationship Id="rId12" Type="http://schemas.openxmlformats.org/officeDocument/2006/relationships/hyperlink" Target="https://www.in.gov.br/en/web/dou/-/resolucao-n-2-de-20-de-dezembro-de-2019-*-242332819" TargetMode="External"/><Relationship Id="rId13" Type="http://schemas.openxmlformats.org/officeDocument/2006/relationships/hyperlink" Target="https://pesquisa.in.gov.br/imprensa/jsp/visualiza/index.jsp?data=15/04/2020&amp;jornal=515&amp;pagina=46&amp;totalArquivos=99" TargetMode="External"/><Relationship Id="rId14" Type="http://schemas.openxmlformats.org/officeDocument/2006/relationships/hyperlink" Target="https://www.semesp.org.br/wp-content/uploads/2021/08/Despacho-parecer.pdf" TargetMode="External"/><Relationship Id="rId15" Type="http://schemas.openxmlformats.org/officeDocument/2006/relationships/hyperlink" Target="https://www-mgm.uffs.edu.br/institucional/pro-reitorias/graduacao/forum-das-licenciaturas/apresentacao" TargetMode="External"/><Relationship Id="rId16" Type="http://schemas.openxmlformats.org/officeDocument/2006/relationships/hyperlink" Target="https://www.uffs.edu.br/atos-normativos/resolucao/consunicgae/2017-0002" TargetMode="External"/><Relationship Id="rId17" Type="http://schemas.openxmlformats.org/officeDocument/2006/relationships/hyperlink" Target="https://www.uffs.edu.br/atos-normativos/resolucao/consunicgae/2018-0007" TargetMode="External"/><Relationship Id="rId18" Type="http://schemas.openxmlformats.org/officeDocument/2006/relationships/hyperlink" Target="https://in.gov.br/web/dou/-/resolucao-n-5-de-14-de-outubro-de-2021-352697939" TargetMode="External"/><Relationship Id="rId19" Type="http://schemas.openxmlformats.org/officeDocument/2006/relationships/hyperlink" Target="https://www.in.gov.br/en/web/dou/-/resolucao-n-1-de-26-de-marco-de-2021-310886981" TargetMode="External"/><Relationship Id="rId20" Type="http://schemas.openxmlformats.org/officeDocument/2006/relationships/hyperlink" Target="https://www.in.gov.br/web/dou/-/resolu&#199;&#195;o-n&#186;-2-de-24-de-abril-de-2019-85344528" TargetMode="External"/><Relationship Id="rId21" Type="http://schemas.openxmlformats.org/officeDocument/2006/relationships/hyperlink" Target="https://www.in.gov.br/web/dou/-/resolucao-n-3-de-15-de-agosto-de-2019-210946881" TargetMode="External"/><Relationship Id="rId22" Type="http://schemas.openxmlformats.org/officeDocument/2006/relationships/hyperlink" Target="mailto:dir.dop@uffs.edu.br" TargetMode="External"/><Relationship Id="rId23" Type="http://schemas.openxmlformats.org/officeDocument/2006/relationships/hyperlink" Target="https://app.powerbi.com/view?r=eyJrIjoiYWZmY2VlMzQtNWIyZi00ZDYyLThiZGYtMTZiY2FiNDI2ZTAxIiwidCI6ImU3MzFkM2I4LTVhMmEtNDMxYy04NTM1LWQ4N2U5ZGYzNDNkNCJ9" TargetMode="External"/><Relationship Id="rId24" Type="http://schemas.openxmlformats.org/officeDocument/2006/relationships/oleObject" Target="embeddings/oleObject1.bin"/><Relationship Id="rId25" Type="http://schemas.openxmlformats.org/officeDocument/2006/relationships/image" Target="media/image1.emf"/><Relationship Id="rId26" Type="http://schemas.openxmlformats.org/officeDocument/2006/relationships/oleObject" Target="embeddings/oleObject2.bin"/><Relationship Id="rId27" Type="http://schemas.openxmlformats.org/officeDocument/2006/relationships/image" Target="media/image2.emf"/><Relationship Id="rId28" Type="http://schemas.openxmlformats.org/officeDocument/2006/relationships/hyperlink" Target="https://download.inep.gov.br/educacao_superior/avaliacao_cursos_graduacao/instrumentos/2017/curso_reconhecimento.pdf" TargetMode="External"/><Relationship Id="rId29" Type="http://schemas.openxmlformats.org/officeDocument/2006/relationships/hyperlink" Target="https://www.uffs.edu.br/pastas-ocultas/bd/pro-reitoria-de-graduacao/biblioteca/documentos/arquivo" TargetMode="External"/><Relationship Id="rId30" Type="http://schemas.openxmlformats.org/officeDocument/2006/relationships/hyperlink" Target="http://consulta.uffs.edu.br/" TargetMode="External"/><Relationship Id="rId31" Type="http://schemas.openxmlformats.org/officeDocument/2006/relationships/header" Target="header1.xml"/><Relationship Id="rId32" Type="http://schemas.openxmlformats.org/officeDocument/2006/relationships/footer" Target="footer1.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E5F12-F8A1-4E9D-AF49-CF40AF0BC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Application>LibreOffice/6.0.4.2$Windows_X86_64 LibreOffice_project/9b0d9b32d5dcda91d2f1a96dc04c645c450872bf</Application>
  <Pages>18</Pages>
  <Words>6034</Words>
  <Characters>35306</Characters>
  <CharactersWithSpaces>40995</CharactersWithSpaces>
  <Paragraphs>471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2022-03-29T11:38:00Z</dcterms:created>
  <dc:creator>Julio Alex Ferreira</dc:creator>
  <dc:description/>
  <dc:language>pt-BR</dc:language>
  <cp:lastModifiedBy/>
  <cp:lastPrinted>2022-03-29T08:51:35Z</cp:lastPrinted>
  <dcterms:modified xsi:type="dcterms:W3CDTF">2022-05-26T11:12:00Z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