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" w:asciiTheme="majorBidi" w:cstheme="majorBidi" w:hAnsiTheme="majorBidi"/>
          <w:b/>
          <w:bCs/>
          <w:color w:val="000000"/>
        </w:rPr>
      </w:pPr>
      <w:r>
        <w:rPr>
          <w:rFonts w:cs="" w:asciiTheme="majorBidi" w:cstheme="majorBidi" w:hAnsiTheme="majorBidi"/>
          <w:b/>
          <w:bCs/>
          <w:color w:val="000000"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ANEXO I – </w:t>
      </w:r>
      <w:bookmarkStart w:id="0" w:name="_GoBack"/>
      <w:bookmarkEnd w:id="0"/>
      <w:r>
        <w:rPr>
          <w:rFonts w:cs="Calibri"/>
          <w:b/>
          <w:bCs/>
          <w:color w:val="000000"/>
          <w:sz w:val="28"/>
          <w:szCs w:val="28"/>
        </w:rPr>
        <w:t>EDITAL Nº 126/GR/UFFS/2025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cs="Calibri"/>
          <w:b/>
          <w:bCs/>
          <w:color w:val="000000"/>
          <w:sz w:val="24"/>
          <w:szCs w:val="24"/>
          <w:u w:val="single"/>
        </w:rPr>
        <w:t>QUADRO DE PONTUAÇÃO DE TÍTULOS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cs="Calibri"/>
          <w:b/>
          <w:bCs/>
          <w:color w:val="000000"/>
          <w:sz w:val="24"/>
          <w:szCs w:val="24"/>
          <w:u w:val="single"/>
        </w:rPr>
      </w:r>
    </w:p>
    <w:tbl>
      <w:tblPr>
        <w:tblStyle w:val="Tabelacomgrade"/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068"/>
        <w:gridCol w:w="1844"/>
        <w:gridCol w:w="161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pt-BR" w:eastAsia="pt-BR" w:bidi="ar-SA"/>
              </w:rPr>
              <w:t>Atividade de monitoria vinculadas às disciplinas de graduação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-BR" w:bidi="ar-SA"/>
              </w:rPr>
              <w:t>Total de semestres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r>
              <w:rPr>
                <w:rFonts w:cs="Calibri"/>
                <w:sz w:val="20"/>
                <w:szCs w:val="20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eastAsia="Times New Roman" w:cs="Calibri"/>
                <w:kern w:val="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sz w:val="16"/>
                <w:szCs w:val="16"/>
                <w:lang w:val="pt-BR" w:eastAsia="pt-BR" w:bidi="ar-SA"/>
              </w:rPr>
              <w:t>0,25 ponto por semestre acadêmico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Máximo 0,5</w:t>
      </w:r>
    </w:p>
    <w:tbl>
      <w:tblPr>
        <w:tblStyle w:val="Tabelacomgrade"/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068"/>
        <w:gridCol w:w="1844"/>
        <w:gridCol w:w="161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pt-BR" w:eastAsia="pt-BR" w:bidi="ar-SA"/>
              </w:rPr>
              <w:t>Curso de formação complementar com duração de 8h ou mais e/ou participação em evento de 8h ou mais até janeiro de 2025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-BR" w:bidi="ar-SA"/>
              </w:rPr>
              <w:t>Total de horas: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r>
              <w:rPr>
                <w:rFonts w:cs="Calibri"/>
                <w:sz w:val="20"/>
                <w:szCs w:val="20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sz w:val="16"/>
                <w:szCs w:val="16"/>
                <w:lang w:val="pt-BR" w:eastAsia="pt-BR" w:bidi="ar-SA"/>
              </w:rPr>
              <w:t>0,1 ponto a cada 08h de curso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Máximo 1,0</w:t>
      </w:r>
    </w:p>
    <w:tbl>
      <w:tblPr>
        <w:tblStyle w:val="Tabelacomgrade"/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068"/>
        <w:gridCol w:w="1844"/>
        <w:gridCol w:w="161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pt-BR" w:eastAsia="pt-BR" w:bidi="ar-SA"/>
              </w:rPr>
              <w:t>Participação em projetos de extensão e cultura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-BR" w:bidi="ar-SA"/>
              </w:rPr>
              <w:t>Total de horas:</w:t>
            </w:r>
          </w:p>
        </w:tc>
        <w:tc>
          <w:tcPr>
            <w:tcW w:w="161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r>
              <w:rPr>
                <w:rFonts w:cs="Calibri"/>
                <w:sz w:val="20"/>
                <w:szCs w:val="20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sz w:val="16"/>
                <w:szCs w:val="16"/>
                <w:lang w:val="pt-BR" w:eastAsia="pt-BR" w:bidi="ar-SA"/>
              </w:rPr>
              <w:t>1,0 ponto a cada 40h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Máximo 2,0</w:t>
      </w:r>
    </w:p>
    <w:tbl>
      <w:tblPr>
        <w:tblStyle w:val="Tabelacomgrade"/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068"/>
        <w:gridCol w:w="1844"/>
        <w:gridCol w:w="161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pt-BR" w:eastAsia="pt-BR" w:bidi="ar-SA"/>
              </w:rPr>
              <w:t>Realização de estágio ou vivência extracurricular durante a graduação, VER SUS, PET Saúde e outros relacionados à área de formação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-BR" w:bidi="ar-SA"/>
              </w:rPr>
              <w:t>Total de horas: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r>
              <w:rPr>
                <w:rFonts w:cs="Calibri"/>
                <w:sz w:val="20"/>
                <w:szCs w:val="20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sz w:val="16"/>
                <w:szCs w:val="16"/>
                <w:lang w:val="pt-BR" w:eastAsia="pt-BR" w:bidi="ar-SA"/>
              </w:rPr>
              <w:t>0,25 ponto a cada 40h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Máximo 2,0</w:t>
      </w:r>
    </w:p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Style w:val="Tabelacomgrade"/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068"/>
        <w:gridCol w:w="1844"/>
        <w:gridCol w:w="161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bCs/>
                <w:kern w:val="0"/>
                <w:sz w:val="20"/>
                <w:szCs w:val="20"/>
                <w:lang w:val="pt-BR" w:eastAsia="pt-BR" w:bidi="ar-SA"/>
              </w:rPr>
              <w:t>Publicações em livros, periódicos, anais de congressos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-BR" w:bidi="ar-SA"/>
              </w:rPr>
              <w:t>Total de publicações: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r>
              <w:rPr>
                <w:rFonts w:cs="Calibri"/>
                <w:sz w:val="20"/>
                <w:szCs w:val="20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Calibri"/>
                <w:bCs/>
                <w:kern w:val="0"/>
                <w:sz w:val="16"/>
                <w:szCs w:val="16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bCs/>
                <w:kern w:val="0"/>
                <w:sz w:val="16"/>
                <w:szCs w:val="16"/>
                <w:lang w:val="pt-BR" w:eastAsia="pt-BR" w:bidi="ar-SA"/>
              </w:rPr>
              <w:t>0,5 ponto por publicação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Máximo 1,0</w:t>
      </w:r>
    </w:p>
    <w:tbl>
      <w:tblPr>
        <w:tblStyle w:val="Tabelacomgrade"/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068"/>
        <w:gridCol w:w="1844"/>
        <w:gridCol w:w="161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pt-BR" w:eastAsia="pt-BR" w:bidi="ar-SA"/>
              </w:rPr>
              <w:t>Participação em projetos de pesquisa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-BR" w:bidi="ar-SA"/>
              </w:rPr>
              <w:t>Total de semestres: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r>
              <w:rPr>
                <w:rFonts w:cs="Calibri"/>
                <w:sz w:val="20"/>
                <w:szCs w:val="20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sz w:val="16"/>
                <w:szCs w:val="16"/>
                <w:lang w:val="pt-BR" w:eastAsia="pt-BR" w:bidi="ar-SA"/>
              </w:rPr>
              <w:t>0,5 ponto por semestre acadêmico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Máximo 1,5</w:t>
      </w:r>
    </w:p>
    <w:tbl>
      <w:tblPr>
        <w:tblStyle w:val="Tabelacomgrade"/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068"/>
        <w:gridCol w:w="1844"/>
        <w:gridCol w:w="161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pt-BR" w:eastAsia="pt-BR" w:bidi="ar-SA"/>
              </w:rPr>
              <w:t xml:space="preserve"> </w:t>
            </w:r>
            <w:r>
              <w:rPr>
                <w:rFonts w:eastAsia="Times New Roman" w:cs="Calibri"/>
                <w:kern w:val="0"/>
                <w:sz w:val="20"/>
                <w:szCs w:val="20"/>
                <w:lang w:val="pt-BR" w:eastAsia="pt-BR" w:bidi="ar-SA"/>
              </w:rPr>
              <w:t>Participação em projetos de ensino, grupos de estudo/liga acadêmica e/ou em órgãos colegiados, incluindo diretório acadêmico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-BR" w:bidi="ar-SA"/>
              </w:rPr>
              <w:t>Total de semestres: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r>
              <w:rPr>
                <w:rFonts w:cs="Calibri"/>
                <w:sz w:val="20"/>
                <w:szCs w:val="20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sz w:val="16"/>
                <w:szCs w:val="16"/>
                <w:lang w:val="pt-BR" w:eastAsia="pt-BR" w:bidi="ar-SA"/>
              </w:rPr>
              <w:t>0,25 ponto por semestre acadêmico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Máximo 0,5</w:t>
      </w:r>
    </w:p>
    <w:tbl>
      <w:tblPr>
        <w:tblStyle w:val="Tabelacomgrade"/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068"/>
        <w:gridCol w:w="1844"/>
        <w:gridCol w:w="1610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val="pt-BR" w:eastAsia="pt-BR" w:bidi="ar-SA"/>
              </w:rPr>
              <w:t>Experiência profissional na área da inscrição até janeiro de 2025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-BR" w:bidi="ar-SA"/>
              </w:rPr>
              <w:t>Total de meses: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sz w:val="20"/>
                <w:szCs w:val="20"/>
                <w:lang w:val="en-US" w:eastAsia="pt-BR"/>
              </w:rPr>
            </w:pPr>
            <w:r>
              <w:rPr>
                <w:rFonts w:cs="Calibri"/>
                <w:sz w:val="20"/>
                <w:szCs w:val="20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sz w:val="16"/>
                <w:szCs w:val="16"/>
                <w:lang w:val="pt-BR" w:eastAsia="pt-BR" w:bidi="ar-SA"/>
              </w:rPr>
              <w:t>0,1 ponto por mês de trabalho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before="0" w:after="160"/>
              <w:jc w:val="star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jc w:val="end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Máximo 1,5</w:t>
      </w:r>
    </w:p>
    <w:tbl>
      <w:tblPr>
        <w:tblStyle w:val="Tabelacomgrade"/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069"/>
        <w:gridCol w:w="3452"/>
      </w:tblGrid>
      <w:tr>
        <w:trPr>
          <w:trHeight w:val="413" w:hRule="atLeast"/>
        </w:trPr>
        <w:tc>
          <w:tcPr>
            <w:tcW w:w="506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end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pt-BR" w:bidi="ar-SA"/>
              </w:rPr>
              <w:t>PONTUAÇÃO TOTAL:</w:t>
            </w:r>
          </w:p>
        </w:tc>
        <w:tc>
          <w:tcPr>
            <w:tcW w:w="3452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(  X ) Declaro, sob as penas da lei, que são verdadeiras as informações prestadas neste documento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ind w:firstLine="270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</w:t>
      </w:r>
    </w:p>
    <w:p>
      <w:pPr>
        <w:pStyle w:val="Normal"/>
        <w:spacing w:before="0" w:after="160"/>
        <w:ind w:firstLine="290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Assinatura do candidato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97" w:right="1797" w:gutter="0" w:header="720" w:top="777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lineRule="auto" w:line="240" w:beforeAutospacing="0" w:before="0" w:after="0"/>
      <w:jc w:val="center"/>
      <w:rPr>
        <w:lang w:val="pt-BR"/>
      </w:rPr>
    </w:pPr>
    <w:r>
      <w:rPr/>
      <w:drawing>
        <wp:inline distT="0" distB="0" distL="0" distR="0">
          <wp:extent cx="466725" cy="504825"/>
          <wp:effectExtent l="0" t="0" r="0" b="0"/>
          <wp:docPr id="1" name="Imagem 2" descr="IMG_256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IMG_256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Figura1"/>
    <w:bookmarkEnd w:id="1"/>
  </w:p>
  <w:p>
    <w:pPr>
      <w:pStyle w:val="NormalWeb"/>
      <w:spacing w:lineRule="auto" w:line="240" w:beforeAutospacing="0" w:before="0" w:after="0"/>
      <w:jc w:val="center"/>
      <w:rPr/>
    </w:pPr>
    <w:r>
      <w:rPr>
        <w:szCs w:val="20"/>
        <w:lang w:val="pt-BR"/>
      </w:rPr>
      <w:t>SERVIÇO PÚBLICO FEDERAL</w:t>
    </w:r>
  </w:p>
  <w:p>
    <w:pPr>
      <w:pStyle w:val="NormalWeb"/>
      <w:spacing w:lineRule="auto" w:line="240" w:beforeAutospacing="0" w:before="0" w:after="0"/>
      <w:jc w:val="center"/>
      <w:rPr/>
    </w:pPr>
    <w:r>
      <w:rPr>
        <w:szCs w:val="20"/>
        <w:lang w:val="pt-BR"/>
      </w:rPr>
      <w:t>UNIVERSIDADE FEDERAL DA FRONTEIRA SUL</w:t>
    </w:r>
  </w:p>
  <w:p>
    <w:pPr>
      <w:pStyle w:val="NormalWeb"/>
      <w:spacing w:lineRule="auto" w:line="240" w:beforeAutospacing="0" w:before="0" w:after="0"/>
      <w:jc w:val="center"/>
      <w:rPr/>
    </w:pPr>
    <w:r>
      <w:rPr>
        <w:szCs w:val="20"/>
        <w:lang w:val="pt-BR"/>
      </w:rPr>
      <w:t>GABINETE DO REITOR</w:t>
    </w:r>
  </w:p>
  <w:p>
    <w:pPr>
      <w:pStyle w:val="NormalWeb"/>
      <w:spacing w:lineRule="auto" w:line="240" w:beforeAutospacing="0" w:before="0" w:after="0"/>
      <w:jc w:val="center"/>
      <w:rPr/>
    </w:pPr>
    <w:r>
      <w:rPr>
        <w:sz w:val="16"/>
        <w:szCs w:val="16"/>
        <w:lang w:val="pt-BR"/>
      </w:rPr>
      <w:t>Avenida Fernando Machado, 108-E, Centro, Chapecó-SC, CEP 89802-112, (49) 2049-3700</w:t>
    </w:r>
  </w:p>
  <w:p>
    <w:pPr>
      <w:pStyle w:val="NormalWeb"/>
      <w:spacing w:lineRule="auto" w:line="240" w:beforeAutospacing="0" w:before="0" w:after="0"/>
      <w:ind w:hanging="1135" w:start="1135"/>
      <w:jc w:val="center"/>
      <w:rPr/>
    </w:pPr>
    <w:hyperlink r:id="rId2">
      <w:r>
        <w:rPr>
          <w:rStyle w:val="Hyperlink"/>
          <w:color w:val="000000"/>
          <w:sz w:val="16"/>
          <w:szCs w:val="16"/>
          <w:lang w:val="pt-BR"/>
        </w:rPr>
        <w:t xml:space="preserve">gabinete@uffs.edu.br, </w:t>
      </w:r>
    </w:hyperlink>
    <w:hyperlink r:id="rId3">
      <w:r>
        <w:rPr>
          <w:rStyle w:val="Hyperlink"/>
          <w:color w:val="000000"/>
          <w:sz w:val="16"/>
          <w:szCs w:val="16"/>
          <w:lang w:val="pt-BR"/>
        </w:rPr>
        <w:t>www.uffs.edu.br</w:t>
      </w:r>
    </w:hyperlink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lineRule="auto" w:line="240" w:beforeAutospacing="0" w:before="0" w:after="0"/>
      <w:jc w:val="center"/>
      <w:rPr>
        <w:lang w:val="pt-BR"/>
      </w:rPr>
    </w:pPr>
    <w:r>
      <w:rPr/>
      <w:drawing>
        <wp:inline distT="0" distB="0" distL="0" distR="0">
          <wp:extent cx="466725" cy="504825"/>
          <wp:effectExtent l="0" t="0" r="0" b="0"/>
          <wp:docPr id="2" name="Imagem 2" descr="IMG_256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MG_256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" w:name="Figura1"/>
    <w:bookmarkEnd w:id="2"/>
  </w:p>
  <w:p>
    <w:pPr>
      <w:pStyle w:val="NormalWeb"/>
      <w:spacing w:lineRule="auto" w:line="240" w:beforeAutospacing="0" w:before="0" w:after="0"/>
      <w:jc w:val="center"/>
      <w:rPr/>
    </w:pPr>
    <w:r>
      <w:rPr>
        <w:szCs w:val="20"/>
        <w:lang w:val="pt-BR"/>
      </w:rPr>
      <w:t>SERVIÇO PÚBLICO FEDERAL</w:t>
    </w:r>
  </w:p>
  <w:p>
    <w:pPr>
      <w:pStyle w:val="NormalWeb"/>
      <w:spacing w:lineRule="auto" w:line="240" w:beforeAutospacing="0" w:before="0" w:after="0"/>
      <w:jc w:val="center"/>
      <w:rPr/>
    </w:pPr>
    <w:r>
      <w:rPr>
        <w:szCs w:val="20"/>
        <w:lang w:val="pt-BR"/>
      </w:rPr>
      <w:t>UNIVERSIDADE FEDERAL DA FRONTEIRA SUL</w:t>
    </w:r>
  </w:p>
  <w:p>
    <w:pPr>
      <w:pStyle w:val="NormalWeb"/>
      <w:spacing w:lineRule="auto" w:line="240" w:beforeAutospacing="0" w:before="0" w:after="0"/>
      <w:jc w:val="center"/>
      <w:rPr/>
    </w:pPr>
    <w:r>
      <w:rPr>
        <w:szCs w:val="20"/>
        <w:lang w:val="pt-BR"/>
      </w:rPr>
      <w:t>GABINETE DO REITOR</w:t>
    </w:r>
  </w:p>
  <w:p>
    <w:pPr>
      <w:pStyle w:val="NormalWeb"/>
      <w:spacing w:lineRule="auto" w:line="240" w:beforeAutospacing="0" w:before="0" w:after="0"/>
      <w:jc w:val="center"/>
      <w:rPr/>
    </w:pPr>
    <w:r>
      <w:rPr>
        <w:sz w:val="16"/>
        <w:szCs w:val="16"/>
        <w:lang w:val="pt-BR"/>
      </w:rPr>
      <w:t>Avenida Fernando Machado, 108-E, Centro, Chapecó-SC, CEP 89802-112, (49) 2049-3700</w:t>
    </w:r>
  </w:p>
  <w:p>
    <w:pPr>
      <w:pStyle w:val="NormalWeb"/>
      <w:spacing w:lineRule="auto" w:line="240" w:beforeAutospacing="0" w:before="0" w:after="0"/>
      <w:ind w:hanging="1135" w:start="1135"/>
      <w:jc w:val="center"/>
      <w:rPr/>
    </w:pPr>
    <w:hyperlink r:id="rId2">
      <w:r>
        <w:rPr>
          <w:rStyle w:val="Hyperlink"/>
          <w:color w:val="000000"/>
          <w:sz w:val="16"/>
          <w:szCs w:val="16"/>
          <w:lang w:val="pt-BR"/>
        </w:rPr>
        <w:t xml:space="preserve">gabinete@uffs.edu.br, </w:t>
      </w:r>
    </w:hyperlink>
    <w:hyperlink r:id="rId3">
      <w:r>
        <w:rPr>
          <w:rStyle w:val="Hyperlink"/>
          <w:color w:val="000000"/>
          <w:sz w:val="16"/>
          <w:szCs w:val="16"/>
          <w:lang w:val="pt-BR"/>
        </w:rPr>
        <w:t>www.uffs.edu.br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suff w:val="space"/>
      <w:lvlText w:val="%1-"/>
      <w:lvlJc w:val="start"/>
      <w:pPr>
        <w:tabs>
          <w:tab w:val="num" w:pos="0"/>
        </w:tabs>
        <w:ind w:start="0" w:hanging="0"/>
      </w:pPr>
      <w:rPr>
        <w:sz w:val="28"/>
        <w:b/>
        <w:szCs w:val="28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425"/>
        </w:tabs>
        <w:ind w:start="425" w:hanging="425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425"/>
        </w:tabs>
        <w:ind w:start="425" w:hanging="425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425"/>
        </w:tabs>
        <w:ind w:start="425" w:hanging="425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425"/>
        </w:tabs>
        <w:ind w:start="425" w:hanging="425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425"/>
        </w:tabs>
        <w:ind w:start="425" w:hanging="425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425"/>
        </w:tabs>
        <w:ind w:start="425" w:hanging="425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425"/>
        </w:tabs>
        <w:ind w:start="425" w:hanging="425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425"/>
        </w:tabs>
        <w:ind w:start="425" w:hanging="425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semiHidden="1" w:unhideWhenUsed="1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 w:qFormat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InternetLink">
    <w:name w:val="Internet Link"/>
    <w:basedOn w:val="DefaultParagraphFont"/>
    <w:uiPriority w:val="99"/>
    <w:semiHidden/>
    <w:unhideWhenUsed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uiPriority w:val="99"/>
    <w:semiHidden/>
    <w:unhideWhenUsed/>
    <w:qFormat/>
    <w:pPr>
      <w:widowControl/>
      <w:suppressAutoHyphens w:val="true"/>
      <w:bidi w:val="0"/>
      <w:spacing w:lineRule="auto" w:line="288" w:beforeAutospacing="1" w:after="0"/>
      <w:jc w:val="start"/>
    </w:pPr>
    <w:rPr>
      <w:rFonts w:ascii="Times New Roman" w:hAnsi="Times New Roman" w:eastAsia="SimSun" w:cs="Times New Roman"/>
      <w:color w:val="000000"/>
      <w:kern w:val="0"/>
      <w:sz w:val="20"/>
      <w:szCs w:val="24"/>
      <w:lang w:val="en-US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@uffs.edu.br" TargetMode="External"/><Relationship Id="rId3" Type="http://schemas.openxmlformats.org/officeDocument/2006/relationships/hyperlink" Target="http://www.uffs.edu.br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@uffs.edu.br" TargetMode="External"/><Relationship Id="rId3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LibreOffice/24.8.4.2$Windows_X86_64 LibreOffice_project/bb3cfa12c7b1bf994ecc5649a80400d06cd71002</Application>
  <AppVersion>15.0000</AppVersion>
  <Pages>2</Pages>
  <Words>302</Words>
  <Characters>1648</Characters>
  <CharactersWithSpaces>1869</CharactersWithSpaces>
  <Paragraphs>80</Paragraphs>
  <Company>UFFS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2025-02-21T12:24:10Z</dcterms:created>
  <dc:creator/>
  <dc:description/>
  <dc:language>pt-BR</dc:language>
  <cp:lastModifiedBy/>
  <dcterms:modified xsi:type="dcterms:W3CDTF">2025-02-21T10:56:46Z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A8CAABFD2E2F4EAAA7AC222168F73399_13</vt:lpwstr>
  </property>
  <property fmtid="{D5CDD505-2E9C-101B-9397-08002B2CF9AE}" pid="3" name="KSOProductBuildVer">
    <vt:lpwstr>1046-12.2.0.13359</vt:lpwstr>
  </property>
</Properties>
</file>